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D542" w14:textId="77777777" w:rsidR="004F19FF" w:rsidRDefault="004F19FF" w:rsidP="004F19FF">
      <w:pPr>
        <w:jc w:val="center"/>
        <w:rPr>
          <w:rFonts w:asciiTheme="majorBidi" w:hAnsiTheme="majorBidi" w:cstheme="majorBidi"/>
          <w:b/>
          <w:bCs/>
          <w:color w:val="FF0000"/>
          <w:szCs w:val="32"/>
          <w:rtl/>
          <w:lang w:val="en" w:bidi="ar-EG"/>
        </w:rPr>
      </w:pPr>
      <w:bookmarkStart w:id="0" w:name="_GoBack"/>
      <w:bookmarkEnd w:id="0"/>
    </w:p>
    <w:p w14:paraId="4DF694D1" w14:textId="77777777" w:rsidR="00160182" w:rsidRDefault="00160182" w:rsidP="00160182">
      <w:pPr>
        <w:bidi/>
        <w:jc w:val="center"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دور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الحكومة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الماليزيّة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تطوير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القطاع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فترة تقييد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الحركة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ظلّ</w:t>
      </w:r>
      <w:r w:rsidRPr="00A6509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جائحة كوفيد 19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: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2112BDAB" w14:textId="77777777" w:rsidR="00FE51DC" w:rsidRDefault="00160182" w:rsidP="00FE51DC">
      <w:pPr>
        <w:spacing w:after="0"/>
        <w:jc w:val="center"/>
        <w:rPr>
          <w:rFonts w:asciiTheme="majorBidi" w:hAnsiTheme="majorBidi" w:cstheme="majorBidi"/>
          <w:b/>
          <w:bCs/>
          <w:color w:val="FF0000"/>
          <w:szCs w:val="32"/>
          <w:lang w:val="en"/>
        </w:rPr>
      </w:pP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دراسة تحليل</w:t>
      </w:r>
      <w:r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A6509F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ة شرعية</w:t>
      </w:r>
      <w:r w:rsidR="00FE51DC">
        <w:rPr>
          <w:rStyle w:val="tlid-translation"/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E51DC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FE51DC" w:rsidRPr="001F37E2">
        <w:rPr>
          <w:rFonts w:asciiTheme="majorBidi" w:hAnsiTheme="majorBidi" w:cstheme="majorBidi"/>
          <w:b/>
          <w:bCs/>
          <w:color w:val="FF0000"/>
          <w:szCs w:val="32"/>
          <w:lang w:val="en"/>
        </w:rPr>
        <w:t xml:space="preserve"> [Font:</w:t>
      </w:r>
      <w:r w:rsidR="00FE51DC" w:rsidRPr="001F37E2">
        <w:rPr>
          <w:rFonts w:asciiTheme="majorBidi" w:hAnsiTheme="majorBidi" w:cstheme="majorBidi" w:hint="cs"/>
          <w:b/>
          <w:bCs/>
          <w:color w:val="FF0000"/>
          <w:szCs w:val="32"/>
          <w:rtl/>
          <w:lang w:val="en"/>
        </w:rPr>
        <w:t xml:space="preserve"> </w:t>
      </w:r>
      <w:r w:rsidR="00FE51DC" w:rsidRPr="001F37E2">
        <w:rPr>
          <w:rFonts w:asciiTheme="majorBidi" w:hAnsiTheme="majorBidi" w:cstheme="majorBidi"/>
          <w:b/>
          <w:bCs/>
          <w:color w:val="FF0000"/>
          <w:szCs w:val="32"/>
          <w:lang w:val="en"/>
        </w:rPr>
        <w:t>Traditional Arabic, Bold, 16]</w:t>
      </w:r>
    </w:p>
    <w:p w14:paraId="178C2AFC" w14:textId="043DA22E" w:rsidR="00FE51DC" w:rsidRPr="00A6509F" w:rsidRDefault="00FE51DC" w:rsidP="00F53F36">
      <w:pPr>
        <w:bidi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702D14CA" w14:textId="77777777" w:rsidR="00FE51DC" w:rsidRPr="003536CA" w:rsidRDefault="00160182" w:rsidP="00FE51DC">
      <w:pPr>
        <w:pStyle w:val="NoSpacing"/>
        <w:jc w:val="center"/>
        <w:rPr>
          <w:rFonts w:asciiTheme="majorBidi" w:hAnsiTheme="majorBidi" w:cs="Traditional Arabic"/>
          <w:bCs/>
          <w:sz w:val="18"/>
          <w:szCs w:val="18"/>
        </w:rPr>
      </w:pPr>
      <w:r w:rsidRPr="004729DF">
        <w:rPr>
          <w:rStyle w:val="tlid-translation"/>
          <w:rFonts w:asciiTheme="majorBidi" w:hAnsiTheme="majorBidi" w:cstheme="majorBidi"/>
          <w:sz w:val="18"/>
          <w:szCs w:val="18"/>
          <w:vertAlign w:val="superscript"/>
          <w:lang w:val="id-ID"/>
        </w:rPr>
        <w:t>i*</w:t>
      </w:r>
      <w:r w:rsidRPr="009473BA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t xml:space="preserve">Setiyawan Gunardi, </w:t>
      </w:r>
      <w:r w:rsidRPr="009473BA">
        <w:rPr>
          <w:rStyle w:val="tlid-translation"/>
          <w:rFonts w:asciiTheme="majorBidi" w:hAnsiTheme="majorBidi" w:cstheme="majorBidi"/>
          <w:sz w:val="18"/>
          <w:szCs w:val="18"/>
          <w:vertAlign w:val="superscript"/>
          <w:lang w:val="id-ID"/>
        </w:rPr>
        <w:t>i</w:t>
      </w:r>
      <w:r w:rsidRPr="009473BA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t xml:space="preserve">Muneer Ali Abdul Rab, </w:t>
      </w:r>
      <w:r w:rsidRPr="009473BA">
        <w:rPr>
          <w:rStyle w:val="tlid-translation"/>
          <w:rFonts w:asciiTheme="majorBidi" w:hAnsiTheme="majorBidi" w:cstheme="majorBidi"/>
          <w:sz w:val="18"/>
          <w:szCs w:val="18"/>
          <w:vertAlign w:val="superscript"/>
          <w:lang w:val="id-ID"/>
        </w:rPr>
        <w:t>i</w:t>
      </w:r>
      <w:r w:rsidRPr="009473BA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t>Baidar Mohammed Mohammed Hassan</w:t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ms-MY"/>
        </w:rPr>
        <w:t xml:space="preserve"> </w:t>
      </w:r>
      <w:r w:rsidR="00FE51DC" w:rsidRPr="00084977">
        <w:rPr>
          <w:rFonts w:asciiTheme="majorBidi" w:hAnsiTheme="majorBidi" w:cs="Traditional Arabic"/>
          <w:bCs/>
          <w:color w:val="FF0000"/>
          <w:sz w:val="18"/>
          <w:szCs w:val="18"/>
        </w:rPr>
        <w:t>[Font: Times New Roman, 9]</w:t>
      </w:r>
    </w:p>
    <w:p w14:paraId="3667A486" w14:textId="7ACEF229" w:rsidR="00160182" w:rsidRPr="00FE51DC" w:rsidRDefault="00160182" w:rsidP="00160182">
      <w:pPr>
        <w:jc w:val="center"/>
        <w:rPr>
          <w:rStyle w:val="tlid-translation"/>
          <w:rFonts w:asciiTheme="majorBidi" w:hAnsiTheme="majorBidi" w:cstheme="majorBidi"/>
          <w:sz w:val="18"/>
          <w:szCs w:val="18"/>
          <w:lang w:val="en-US"/>
        </w:rPr>
      </w:pPr>
    </w:p>
    <w:p w14:paraId="41662843" w14:textId="77777777" w:rsidR="00FE51DC" w:rsidRPr="003536CA" w:rsidRDefault="00160182" w:rsidP="00FE51DC">
      <w:pPr>
        <w:pStyle w:val="NoSpacing"/>
        <w:jc w:val="center"/>
        <w:rPr>
          <w:rFonts w:asciiTheme="majorBidi" w:hAnsiTheme="majorBidi" w:cs="Traditional Arabic"/>
          <w:bCs/>
          <w:sz w:val="18"/>
          <w:szCs w:val="18"/>
        </w:rPr>
      </w:pPr>
      <w:r w:rsidRPr="009473BA">
        <w:rPr>
          <w:rStyle w:val="tlid-translation"/>
          <w:rFonts w:asciiTheme="majorBidi" w:hAnsiTheme="majorBidi" w:cstheme="majorBidi"/>
          <w:sz w:val="18"/>
          <w:szCs w:val="18"/>
          <w:vertAlign w:val="superscript"/>
          <w:lang w:val="id-ID"/>
        </w:rPr>
        <w:t>i</w:t>
      </w:r>
      <w:r w:rsidRPr="009473BA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t>Faculty of Syariah and Law, Universiti Sains Islam Malaysia, Nilai 71800</w:t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ms-MY"/>
        </w:rPr>
        <w:t xml:space="preserve"> </w:t>
      </w:r>
      <w:r w:rsidR="00FE51DC" w:rsidRPr="00084977">
        <w:rPr>
          <w:rFonts w:asciiTheme="majorBidi" w:hAnsiTheme="majorBidi" w:cs="Traditional Arabic"/>
          <w:bCs/>
          <w:color w:val="FF0000"/>
          <w:sz w:val="18"/>
          <w:szCs w:val="18"/>
        </w:rPr>
        <w:t>[Font: Times New Roman, 9]</w:t>
      </w:r>
    </w:p>
    <w:p w14:paraId="411F7050" w14:textId="2AEC2C24" w:rsidR="00160182" w:rsidRPr="00FE51DC" w:rsidRDefault="00160182" w:rsidP="00160182">
      <w:pPr>
        <w:jc w:val="center"/>
        <w:rPr>
          <w:rStyle w:val="tlid-translation"/>
          <w:rFonts w:asciiTheme="majorBidi" w:hAnsiTheme="majorBidi" w:cstheme="majorBidi"/>
          <w:sz w:val="18"/>
          <w:szCs w:val="18"/>
          <w:lang w:val="en-US"/>
        </w:rPr>
      </w:pPr>
    </w:p>
    <w:p w14:paraId="5C6185A4" w14:textId="77777777" w:rsidR="00FE51DC" w:rsidRPr="003536CA" w:rsidRDefault="00160182" w:rsidP="00FE51DC">
      <w:pPr>
        <w:pStyle w:val="NoSpacing"/>
        <w:jc w:val="center"/>
        <w:rPr>
          <w:rFonts w:asciiTheme="majorBidi" w:hAnsiTheme="majorBidi" w:cs="Traditional Arabic"/>
          <w:bCs/>
          <w:sz w:val="18"/>
          <w:szCs w:val="18"/>
        </w:rPr>
      </w:pPr>
      <w:r w:rsidRPr="004729DF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t xml:space="preserve">*(Corresponding author) email: </w:t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fldChar w:fldCharType="begin"/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instrText xml:space="preserve"> HYPERLINK "mailto:</w:instrText>
      </w:r>
      <w:r w:rsidR="00FE51DC" w:rsidRPr="004729DF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instrText>setiyawan@usim.edu.my</w:instrText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instrText xml:space="preserve">" </w:instrText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fldChar w:fldCharType="separate"/>
      </w:r>
      <w:r w:rsidR="00FE51DC" w:rsidRPr="006F59AA">
        <w:rPr>
          <w:rStyle w:val="Hyperlink"/>
          <w:rFonts w:asciiTheme="majorBidi" w:hAnsiTheme="majorBidi" w:cstheme="majorBidi"/>
          <w:sz w:val="18"/>
          <w:szCs w:val="18"/>
          <w:lang w:val="id-ID"/>
        </w:rPr>
        <w:t>setiyawan@usim.edu.my</w:t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id-ID"/>
        </w:rPr>
        <w:fldChar w:fldCharType="end"/>
      </w:r>
      <w:r w:rsidR="00FE51DC">
        <w:rPr>
          <w:rStyle w:val="tlid-translation"/>
          <w:rFonts w:asciiTheme="majorBidi" w:hAnsiTheme="majorBidi" w:cstheme="majorBidi"/>
          <w:sz w:val="18"/>
          <w:szCs w:val="18"/>
          <w:lang w:val="ms-MY"/>
        </w:rPr>
        <w:t xml:space="preserve"> </w:t>
      </w:r>
      <w:r w:rsidR="00FE51DC" w:rsidRPr="00084977">
        <w:rPr>
          <w:rFonts w:asciiTheme="majorBidi" w:hAnsiTheme="majorBidi" w:cs="Traditional Arabic"/>
          <w:bCs/>
          <w:color w:val="FF0000"/>
          <w:sz w:val="18"/>
          <w:szCs w:val="18"/>
        </w:rPr>
        <w:t>[Font: Times New Roman, 9]</w:t>
      </w:r>
    </w:p>
    <w:p w14:paraId="6E247969" w14:textId="7DA5CAC9" w:rsidR="00160182" w:rsidRPr="00FE51DC" w:rsidRDefault="00160182" w:rsidP="00160182">
      <w:pPr>
        <w:jc w:val="center"/>
        <w:rPr>
          <w:rStyle w:val="tlid-translation"/>
          <w:rFonts w:asciiTheme="majorBidi" w:hAnsiTheme="majorBidi" w:cstheme="majorBidi"/>
          <w:sz w:val="18"/>
          <w:szCs w:val="18"/>
          <w:lang w:val="en-US"/>
        </w:rPr>
      </w:pPr>
    </w:p>
    <w:p w14:paraId="0852B4DF" w14:textId="77777777" w:rsidR="00160182" w:rsidRPr="004729DF" w:rsidRDefault="00160182" w:rsidP="00160182">
      <w:pPr>
        <w:rPr>
          <w:rStyle w:val="tlid-translation"/>
          <w:rFonts w:asciiTheme="majorBidi" w:hAnsiTheme="majorBidi" w:cstheme="majorBidi"/>
          <w:sz w:val="18"/>
          <w:szCs w:val="18"/>
          <w:lang w:val="en-US"/>
        </w:rPr>
      </w:pPr>
    </w:p>
    <w:p w14:paraId="53710E38" w14:textId="187656AA" w:rsidR="00A312B5" w:rsidRPr="00F53F36" w:rsidRDefault="00FE51DC" w:rsidP="00F53F36">
      <w:pPr>
        <w:jc w:val="center"/>
        <w:rPr>
          <w:rStyle w:val="tlid-translation"/>
          <w:rFonts w:asciiTheme="majorBidi" w:hAnsiTheme="majorBidi" w:cstheme="majorBidi"/>
          <w:b/>
          <w:bCs/>
          <w:color w:val="FF0000"/>
          <w:szCs w:val="32"/>
          <w:rtl/>
        </w:rPr>
      </w:pPr>
      <w:r>
        <w:rPr>
          <w:rStyle w:val="tlid-translation"/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312B5" w:rsidRPr="00A312B5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ملخص البحث</w:t>
      </w:r>
      <w:r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Pr="00084977">
        <w:rPr>
          <w:rFonts w:asciiTheme="majorBidi" w:hAnsiTheme="majorBidi" w:cstheme="majorBidi"/>
          <w:b/>
          <w:bCs/>
          <w:color w:val="FF0000"/>
          <w:szCs w:val="32"/>
          <w:lang w:val="en"/>
        </w:rPr>
        <w:t>[Font:</w:t>
      </w:r>
      <w:r>
        <w:rPr>
          <w:rFonts w:asciiTheme="majorBidi" w:hAnsiTheme="majorBidi" w:cstheme="majorBidi"/>
          <w:b/>
          <w:bCs/>
          <w:color w:val="FF0000"/>
          <w:szCs w:val="32"/>
          <w:lang w:val="en"/>
        </w:rPr>
        <w:t xml:space="preserve"> Traditional Arabic</w:t>
      </w:r>
      <w:r w:rsidRPr="00084977">
        <w:rPr>
          <w:rFonts w:asciiTheme="majorBidi" w:hAnsiTheme="majorBidi" w:cstheme="majorBidi"/>
          <w:b/>
          <w:bCs/>
          <w:color w:val="FF0000"/>
          <w:szCs w:val="32"/>
          <w:lang w:val="en"/>
        </w:rPr>
        <w:t>,</w:t>
      </w:r>
      <w:r>
        <w:rPr>
          <w:rFonts w:asciiTheme="majorBidi" w:hAnsiTheme="majorBidi" w:cstheme="majorBidi"/>
          <w:b/>
          <w:bCs/>
          <w:color w:val="FF0000"/>
          <w:szCs w:val="32"/>
          <w:lang w:val="en"/>
        </w:rPr>
        <w:t xml:space="preserve"> Bold</w:t>
      </w:r>
      <w:r w:rsidRPr="00084977">
        <w:rPr>
          <w:rFonts w:asciiTheme="majorBidi" w:hAnsiTheme="majorBidi" w:cstheme="majorBidi"/>
          <w:b/>
          <w:bCs/>
          <w:color w:val="FF0000"/>
          <w:szCs w:val="32"/>
          <w:lang w:val="en"/>
        </w:rPr>
        <w:t>, 1</w:t>
      </w:r>
      <w:r>
        <w:rPr>
          <w:rFonts w:asciiTheme="majorBidi" w:hAnsiTheme="majorBidi" w:cstheme="majorBidi"/>
          <w:b/>
          <w:bCs/>
          <w:color w:val="FF0000"/>
          <w:szCs w:val="32"/>
          <w:lang w:val="en"/>
        </w:rPr>
        <w:t>6</w:t>
      </w:r>
      <w:r w:rsidRPr="00084977">
        <w:rPr>
          <w:rFonts w:asciiTheme="majorBidi" w:hAnsiTheme="majorBidi" w:cstheme="majorBidi"/>
          <w:b/>
          <w:bCs/>
          <w:color w:val="FF0000"/>
          <w:szCs w:val="32"/>
          <w:lang w:val="en"/>
        </w:rPr>
        <w:t>]</w:t>
      </w:r>
    </w:p>
    <w:p w14:paraId="67F18F13" w14:textId="6158F698" w:rsidR="00160182" w:rsidRPr="00F53F36" w:rsidRDefault="00160182" w:rsidP="00F53F36">
      <w:pPr>
        <w:bidi/>
        <w:spacing w:after="0"/>
        <w:jc w:val="both"/>
        <w:rPr>
          <w:rStyle w:val="tlid-translation"/>
          <w:rFonts w:asciiTheme="majorBidi" w:hAnsiTheme="majorBidi" w:cstheme="majorBidi"/>
          <w:b/>
          <w:bCs/>
          <w:color w:val="FF0000"/>
          <w:szCs w:val="32"/>
          <w:rtl/>
        </w:rPr>
      </w:pP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تتحم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َّ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ل </w:t>
      </w:r>
      <w:r w:rsidRPr="00077163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الحكومة</w:t>
      </w:r>
      <w:r w:rsidRPr="00077163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الماليزيّة</w:t>
      </w:r>
      <w:r w:rsidRPr="001B61D2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مسؤولية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إدارة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قتصاد ال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مجتمع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تحقيق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اً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لمصالح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حياتهم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خاصة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في هذا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الوضع الحال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، عندما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تخذ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الحكومة قرار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تقييد الحركة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أثناء انتشار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جائحة 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-19.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من الضروري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أن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ُ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قد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ِّ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 أفضل ا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ل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قتراحات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للحفاظ على حياة النّاس وأموالهم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وكما هو معلوم في علم أصول الفقه فإن </w:t>
      </w:r>
      <w:r w:rsidRPr="005C6657"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  <w:t>حفظ المال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هو أحد المقاصد الخمسة المهِمَّة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والتي تعمل على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تحقيق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مصالح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الحياة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من الناحية الاقتصادية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والهدف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من هذه الدراسة هو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توضيح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دور الحكومة الماليزية في حماية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الناس في المجال الاقتصادي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وت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ح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د موقع مبدأ </w:t>
      </w:r>
      <w:r w:rsidRPr="004771BE"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  <w:t>حفظ المال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من قِبَل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الحكومة في إدارة تخصيص الأموال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لذلك تست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خدم هذه الدراسة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منهج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الوصفي التحليلي والاستقرائي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من خلال ملاحظة ا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لمواقع والصحف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و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المنهج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المكتب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معرفة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مقاصد الشريعة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وبعد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جمع البيانات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سيتم تحليلها لإنتاج نتائج بحث شاملة ومبتكرة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من</w:t>
      </w:r>
      <w:r w:rsidRPr="005A5529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نتائج هذه الدراسة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ما يأتي:</w:t>
      </w:r>
      <w:r w:rsidR="00FE51DC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....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[Font: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 xml:space="preserve">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Traditional Arabic, 16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>, Not more than 300 words]</w:t>
      </w:r>
    </w:p>
    <w:p w14:paraId="390AB15B" w14:textId="77777777" w:rsidR="00160182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b/>
          <w:bCs/>
          <w:i/>
          <w:iCs/>
          <w:sz w:val="32"/>
          <w:szCs w:val="32"/>
          <w:rtl/>
          <w:lang w:bidi="ar"/>
        </w:rPr>
      </w:pPr>
    </w:p>
    <w:p w14:paraId="6A42C7A6" w14:textId="11CA97BE" w:rsidR="00160182" w:rsidRDefault="00160182" w:rsidP="00FE51DC">
      <w:pPr>
        <w:bidi/>
        <w:spacing w:after="0" w:line="240" w:lineRule="auto"/>
        <w:jc w:val="both"/>
        <w:rPr>
          <w:rStyle w:val="CommentReference"/>
          <w:rFonts w:ascii="Traditional Arabic" w:hAnsi="Traditional Arabic" w:cs="Traditional Arabic"/>
          <w:i/>
          <w:iCs/>
          <w:sz w:val="32"/>
          <w:szCs w:val="32"/>
          <w:rtl/>
          <w:lang w:bidi="ar"/>
        </w:rPr>
      </w:pPr>
      <w:r w:rsidRPr="00477DC2">
        <w:rPr>
          <w:rStyle w:val="tlid-translation"/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الكلمات المفتاحية</w:t>
      </w:r>
      <w:r w:rsidRPr="00477DC2"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  <w:lang w:bidi="ar"/>
        </w:rPr>
        <w:t xml:space="preserve">: </w:t>
      </w:r>
      <w:r w:rsidRPr="00477DC2"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  <w:t xml:space="preserve">دور الحكومة </w:t>
      </w:r>
      <w:r w:rsidRPr="00477DC2">
        <w:rPr>
          <w:rStyle w:val="tlid-translation"/>
          <w:rFonts w:ascii="Traditional Arabic" w:hAnsi="Traditional Arabic" w:cs="Traditional Arabic" w:hint="cs"/>
          <w:i/>
          <w:iCs/>
          <w:sz w:val="32"/>
          <w:szCs w:val="32"/>
          <w:rtl/>
        </w:rPr>
        <w:t>الماليزية،</w:t>
      </w:r>
      <w:r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  <w:t xml:space="preserve"> الاقتصاد ، ال</w:t>
      </w:r>
      <w:r>
        <w:rPr>
          <w:rStyle w:val="tlid-translation"/>
          <w:rFonts w:ascii="Traditional Arabic" w:hAnsi="Traditional Arabic" w:cs="Traditional Arabic" w:hint="cs"/>
          <w:i/>
          <w:iCs/>
          <w:sz w:val="32"/>
          <w:szCs w:val="32"/>
          <w:rtl/>
        </w:rPr>
        <w:t>مجتمع</w:t>
      </w:r>
      <w:r w:rsidRPr="00477DC2"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  <w:t xml:space="preserve"> ،</w:t>
      </w:r>
      <w:r>
        <w:rPr>
          <w:rStyle w:val="tlid-translation"/>
          <w:rFonts w:ascii="Traditional Arabic" w:hAnsi="Traditional Arabic" w:cs="Traditional Arabic" w:hint="cs"/>
          <w:i/>
          <w:iCs/>
          <w:sz w:val="32"/>
          <w:szCs w:val="32"/>
          <w:rtl/>
          <w:lang w:bidi="ar"/>
        </w:rPr>
        <w:t>.</w:t>
      </w:r>
      <w:r w:rsidR="00FE51DC" w:rsidRPr="00FE51DC">
        <w:rPr>
          <w:rFonts w:asciiTheme="majorBidi" w:hAnsiTheme="majorBidi" w:cstheme="majorBidi"/>
          <w:color w:val="FF0000"/>
          <w:szCs w:val="32"/>
          <w:lang w:val="en"/>
        </w:rPr>
        <w:t xml:space="preserve">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[Font: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 xml:space="preserve">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 xml:space="preserve">Traditional Arabic, 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 xml:space="preserve">Italic,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16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>]</w:t>
      </w:r>
    </w:p>
    <w:p w14:paraId="1EF2121C" w14:textId="30A1CD25" w:rsidR="00160182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lang w:bidi="ar"/>
        </w:rPr>
      </w:pPr>
    </w:p>
    <w:p w14:paraId="51EEF485" w14:textId="77777777" w:rsidR="00491CDA" w:rsidRDefault="00491CDA" w:rsidP="00491CDA">
      <w:pPr>
        <w:spacing w:after="0" w:line="240" w:lineRule="auto"/>
        <w:jc w:val="both"/>
        <w:rPr>
          <w:rStyle w:val="tlid-translation"/>
          <w:lang w:val="en"/>
        </w:rPr>
      </w:pPr>
    </w:p>
    <w:p w14:paraId="1EC90811" w14:textId="76FB89BA" w:rsidR="00491CDA" w:rsidRPr="00A312B5" w:rsidRDefault="00A312B5" w:rsidP="00FE51DC">
      <w:pPr>
        <w:spacing w:after="0" w:line="240" w:lineRule="auto"/>
        <w:jc w:val="center"/>
        <w:rPr>
          <w:rStyle w:val="CommentReference"/>
          <w:rFonts w:asciiTheme="majorBidi" w:hAnsiTheme="majorBidi" w:cstheme="majorBidi"/>
          <w:b/>
          <w:bCs/>
          <w:lang w:val="en"/>
        </w:rPr>
      </w:pPr>
      <w:proofErr w:type="gramStart"/>
      <w:r w:rsidRPr="00A312B5">
        <w:rPr>
          <w:rStyle w:val="tlid-translation"/>
          <w:rFonts w:asciiTheme="majorBidi" w:hAnsiTheme="majorBidi" w:cstheme="majorBidi"/>
          <w:b/>
          <w:bCs/>
          <w:lang w:val="en"/>
        </w:rPr>
        <w:t>ABSTRACT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[</w:t>
      </w:r>
      <w:proofErr w:type="gramEnd"/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Font: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 xml:space="preserve">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 xml:space="preserve">Traditional Arabic, 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 xml:space="preserve">Italic, </w:t>
      </w:r>
      <w:r w:rsidR="00FE51DC" w:rsidRPr="00084977">
        <w:rPr>
          <w:rFonts w:asciiTheme="majorBidi" w:hAnsiTheme="majorBidi" w:cstheme="majorBidi"/>
          <w:color w:val="FF0000"/>
          <w:szCs w:val="32"/>
          <w:lang w:val="en"/>
        </w:rPr>
        <w:t>16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>]</w:t>
      </w:r>
    </w:p>
    <w:p w14:paraId="44F39EDF" w14:textId="77777777" w:rsidR="00491CDA" w:rsidRPr="00A312B5" w:rsidRDefault="00491CDA" w:rsidP="00491CDA">
      <w:pPr>
        <w:spacing w:after="0" w:line="240" w:lineRule="auto"/>
        <w:jc w:val="both"/>
        <w:rPr>
          <w:rStyle w:val="tlid-translation"/>
          <w:rFonts w:asciiTheme="majorBidi" w:hAnsiTheme="majorBidi" w:cstheme="majorBidi"/>
          <w:lang w:val="en"/>
        </w:rPr>
      </w:pPr>
    </w:p>
    <w:p w14:paraId="4A47E493" w14:textId="5B8B473C" w:rsidR="00491CDA" w:rsidRPr="00F53F36" w:rsidRDefault="00491CDA" w:rsidP="00F53F36">
      <w:pPr>
        <w:jc w:val="both"/>
        <w:rPr>
          <w:rStyle w:val="tlid-translation"/>
          <w:rFonts w:asciiTheme="majorBidi" w:hAnsiTheme="majorBidi" w:cstheme="majorBidi"/>
          <w:b/>
          <w:bCs/>
          <w:color w:val="FF0000"/>
          <w:szCs w:val="32"/>
        </w:rPr>
      </w:pPr>
      <w:r w:rsidRPr="00A312B5">
        <w:rPr>
          <w:rStyle w:val="tlid-translation"/>
          <w:rFonts w:asciiTheme="majorBidi" w:hAnsiTheme="majorBidi" w:cstheme="majorBidi"/>
          <w:lang w:val="en"/>
        </w:rPr>
        <w:t>The Malaysian government bears the responsibility to manage the society's economy in the interest of their lives, especially in this current situation, when the government deci</w:t>
      </w:r>
      <w:r w:rsidR="00A44A3B">
        <w:rPr>
          <w:rStyle w:val="tlid-translation"/>
          <w:rFonts w:asciiTheme="majorBidi" w:hAnsiTheme="majorBidi" w:cstheme="majorBidi"/>
          <w:lang w:val="en"/>
        </w:rPr>
        <w:t>ded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to </w:t>
      </w:r>
      <w:r w:rsidR="00A312B5" w:rsidRPr="00F5287A">
        <w:rPr>
          <w:rStyle w:val="tlid-translation"/>
          <w:rFonts w:asciiTheme="majorBidi" w:hAnsiTheme="majorBidi" w:cstheme="majorBidi"/>
          <w:lang w:val="en-US" w:bidi="ar"/>
        </w:rPr>
        <w:t>Movement Control Order</w:t>
      </w:r>
      <w:r w:rsidR="00A312B5" w:rsidRPr="00A312B5">
        <w:rPr>
          <w:rStyle w:val="tlid-translation"/>
          <w:rFonts w:asciiTheme="majorBidi" w:hAnsiTheme="majorBidi" w:cstheme="majorBidi"/>
          <w:lang w:val="en"/>
        </w:rPr>
        <w:t xml:space="preserve"> </w:t>
      </w:r>
      <w:r w:rsidR="00A312B5">
        <w:rPr>
          <w:rStyle w:val="tlid-translation"/>
          <w:rFonts w:asciiTheme="majorBidi" w:hAnsiTheme="majorBidi" w:cstheme="majorBidi"/>
          <w:lang w:val="en"/>
        </w:rPr>
        <w:t xml:space="preserve">(MCO) 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during the spread of the Covid-19 </w:t>
      </w:r>
      <w:r w:rsidR="009F713B">
        <w:rPr>
          <w:rStyle w:val="tlid-translation"/>
          <w:rFonts w:asciiTheme="majorBidi" w:hAnsiTheme="majorBidi" w:cstheme="majorBidi"/>
          <w:lang w:val="en"/>
        </w:rPr>
        <w:t>P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andemic. </w:t>
      </w:r>
      <w:r w:rsidR="00D549B0">
        <w:rPr>
          <w:rStyle w:val="tlid-translation"/>
          <w:rFonts w:asciiTheme="majorBidi" w:hAnsiTheme="majorBidi" w:cstheme="majorBidi"/>
          <w:lang w:val="en"/>
        </w:rPr>
        <w:t>The Government must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offer the best suggestions to keep people happy and comfortable. As it is known in the science of </w:t>
      </w:r>
      <w:proofErr w:type="spellStart"/>
      <w:r w:rsidRPr="00A312B5">
        <w:rPr>
          <w:rStyle w:val="tlid-translation"/>
          <w:rFonts w:asciiTheme="majorBidi" w:hAnsiTheme="majorBidi" w:cstheme="majorBidi"/>
          <w:lang w:val="en"/>
        </w:rPr>
        <w:t>Usul</w:t>
      </w:r>
      <w:proofErr w:type="spellEnd"/>
      <w:r w:rsidRPr="00A312B5">
        <w:rPr>
          <w:rStyle w:val="tlid-translation"/>
          <w:rFonts w:asciiTheme="majorBidi" w:hAnsiTheme="majorBidi" w:cstheme="majorBidi"/>
          <w:lang w:val="en"/>
        </w:rPr>
        <w:t xml:space="preserve"> al-</w:t>
      </w:r>
      <w:proofErr w:type="spellStart"/>
      <w:r w:rsidRPr="00A312B5">
        <w:rPr>
          <w:rStyle w:val="tlid-translation"/>
          <w:rFonts w:asciiTheme="majorBidi" w:hAnsiTheme="majorBidi" w:cstheme="majorBidi"/>
          <w:lang w:val="en"/>
        </w:rPr>
        <w:t>Fiqh</w:t>
      </w:r>
      <w:proofErr w:type="spellEnd"/>
      <w:r w:rsidRPr="00A312B5">
        <w:rPr>
          <w:rStyle w:val="tlid-translation"/>
          <w:rFonts w:asciiTheme="majorBidi" w:hAnsiTheme="majorBidi" w:cstheme="majorBidi"/>
          <w:lang w:val="en"/>
        </w:rPr>
        <w:t xml:space="preserve">, </w:t>
      </w:r>
      <w:proofErr w:type="spellStart"/>
      <w:r w:rsidR="00A60CE7" w:rsidRPr="00A60CE7">
        <w:rPr>
          <w:rStyle w:val="tlid-translation"/>
          <w:rFonts w:asciiTheme="majorBidi" w:hAnsiTheme="majorBidi" w:cstheme="majorBidi"/>
          <w:i/>
          <w:iCs/>
          <w:lang w:val="en"/>
        </w:rPr>
        <w:t>Hifz</w:t>
      </w:r>
      <w:proofErr w:type="spellEnd"/>
      <w:r w:rsidR="00A60CE7" w:rsidRPr="00A60CE7">
        <w:rPr>
          <w:rStyle w:val="tlid-translation"/>
          <w:rFonts w:asciiTheme="majorBidi" w:hAnsiTheme="majorBidi" w:cstheme="majorBidi"/>
          <w:i/>
          <w:iCs/>
          <w:lang w:val="en"/>
        </w:rPr>
        <w:t xml:space="preserve"> al-Mal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is one of the five important objectives that </w:t>
      </w:r>
      <w:r w:rsidR="00A60CE7">
        <w:rPr>
          <w:rStyle w:val="tlid-translation"/>
          <w:rFonts w:asciiTheme="majorBidi" w:hAnsiTheme="majorBidi" w:cstheme="majorBidi"/>
          <w:lang w:val="en"/>
        </w:rPr>
        <w:t>do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to achieve the interests of life in economic terms. The study </w:t>
      </w:r>
      <w:r w:rsidR="00D549B0">
        <w:rPr>
          <w:rStyle w:val="tlid-translation"/>
          <w:rFonts w:asciiTheme="majorBidi" w:hAnsiTheme="majorBidi" w:cstheme="majorBidi"/>
          <w:lang w:val="en"/>
        </w:rPr>
        <w:t xml:space="preserve">aims 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to clarify the role of the Malaysian government in protecting people in the economic sphere. And determining the </w:t>
      </w:r>
      <w:r w:rsidR="00A60CE7">
        <w:rPr>
          <w:rStyle w:val="tlid-translation"/>
          <w:rFonts w:asciiTheme="majorBidi" w:hAnsiTheme="majorBidi" w:cstheme="majorBidi"/>
          <w:lang w:val="en"/>
        </w:rPr>
        <w:t>status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of the principle of </w:t>
      </w:r>
      <w:proofErr w:type="spellStart"/>
      <w:r w:rsidR="00A60CE7" w:rsidRPr="00A60CE7">
        <w:rPr>
          <w:rStyle w:val="tlid-translation"/>
          <w:rFonts w:asciiTheme="majorBidi" w:hAnsiTheme="majorBidi" w:cstheme="majorBidi"/>
          <w:i/>
          <w:iCs/>
          <w:lang w:val="en"/>
        </w:rPr>
        <w:t>Hifz</w:t>
      </w:r>
      <w:proofErr w:type="spellEnd"/>
      <w:r w:rsidR="00A60CE7" w:rsidRPr="00A60CE7">
        <w:rPr>
          <w:rStyle w:val="tlid-translation"/>
          <w:rFonts w:asciiTheme="majorBidi" w:hAnsiTheme="majorBidi" w:cstheme="majorBidi"/>
          <w:i/>
          <w:iCs/>
          <w:lang w:val="en"/>
        </w:rPr>
        <w:t xml:space="preserve"> al-Mal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by the government in managing the allocation of funds. Therefore, this study uses the descriptive and inductive analytical method by </w:t>
      </w:r>
      <w:r w:rsidRPr="00A312B5">
        <w:rPr>
          <w:rStyle w:val="tlid-translation"/>
          <w:rFonts w:asciiTheme="majorBidi" w:hAnsiTheme="majorBidi" w:cstheme="majorBidi"/>
          <w:lang w:val="en"/>
        </w:rPr>
        <w:lastRenderedPageBreak/>
        <w:t xml:space="preserve">observing websites, newspapers, and the office curriculum to know the purposes of Sharia. After collecting the data, it will be analyzed to produce comprehensive and innovative research results. </w:t>
      </w:r>
      <w:r w:rsidR="00A60CE7">
        <w:rPr>
          <w:rStyle w:val="tlid-translation"/>
          <w:rFonts w:asciiTheme="majorBidi" w:hAnsiTheme="majorBidi" w:cstheme="majorBidi"/>
          <w:lang w:val="en"/>
        </w:rPr>
        <w:t>T</w:t>
      </w:r>
      <w:r w:rsidRPr="00A312B5">
        <w:rPr>
          <w:rStyle w:val="tlid-translation"/>
          <w:rFonts w:asciiTheme="majorBidi" w:hAnsiTheme="majorBidi" w:cstheme="majorBidi"/>
          <w:lang w:val="en"/>
        </w:rPr>
        <w:t>he results of this study is to know the role of the Malaysian government in protecti</w:t>
      </w:r>
      <w:r w:rsidR="00D549B0">
        <w:rPr>
          <w:rStyle w:val="tlid-translation"/>
          <w:rFonts w:asciiTheme="majorBidi" w:hAnsiTheme="majorBidi" w:cstheme="majorBidi"/>
          <w:lang w:val="en"/>
        </w:rPr>
        <w:t>ng</w:t>
      </w:r>
      <w:r w:rsidRPr="00A312B5">
        <w:rPr>
          <w:rStyle w:val="tlid-translation"/>
          <w:rFonts w:asciiTheme="majorBidi" w:hAnsiTheme="majorBidi" w:cstheme="majorBidi"/>
          <w:lang w:val="en"/>
        </w:rPr>
        <w:t xml:space="preserve"> the people based on of </w:t>
      </w:r>
      <w:proofErr w:type="spellStart"/>
      <w:r w:rsidR="00A60CE7" w:rsidRPr="00A60CE7">
        <w:rPr>
          <w:rStyle w:val="tlid-translation"/>
          <w:rFonts w:asciiTheme="majorBidi" w:hAnsiTheme="majorBidi" w:cstheme="majorBidi"/>
          <w:i/>
          <w:iCs/>
          <w:lang w:val="en"/>
        </w:rPr>
        <w:t>Hifz</w:t>
      </w:r>
      <w:proofErr w:type="spellEnd"/>
      <w:r w:rsidR="00A60CE7" w:rsidRPr="00A60CE7">
        <w:rPr>
          <w:rStyle w:val="tlid-translation"/>
          <w:rFonts w:asciiTheme="majorBidi" w:hAnsiTheme="majorBidi" w:cstheme="majorBidi"/>
          <w:i/>
          <w:iCs/>
          <w:lang w:val="en"/>
        </w:rPr>
        <w:t xml:space="preserve"> al-Mal</w:t>
      </w:r>
      <w:r w:rsidRPr="00A312B5">
        <w:rPr>
          <w:rStyle w:val="tlid-translation"/>
          <w:rFonts w:asciiTheme="majorBidi" w:hAnsiTheme="majorBidi" w:cstheme="majorBidi"/>
          <w:lang w:val="en"/>
        </w:rPr>
        <w:t>.</w:t>
      </w:r>
      <w:r w:rsidR="00FE51DC">
        <w:rPr>
          <w:rStyle w:val="tlid-translation"/>
          <w:rFonts w:asciiTheme="majorBidi" w:hAnsiTheme="majorBidi" w:cstheme="majorBidi"/>
          <w:lang w:val="en"/>
        </w:rPr>
        <w:t xml:space="preserve"> </w:t>
      </w:r>
      <w:r w:rsidR="00FE51DC">
        <w:rPr>
          <w:rFonts w:asciiTheme="majorBidi" w:hAnsiTheme="majorBidi" w:cstheme="majorBidi"/>
          <w:szCs w:val="32"/>
          <w:lang w:val="en"/>
        </w:rPr>
        <w:t xml:space="preserve">... </w:t>
      </w:r>
      <w:r w:rsidR="00FE51DC" w:rsidRPr="001F37E2">
        <w:rPr>
          <w:rFonts w:asciiTheme="majorBidi" w:hAnsiTheme="majorBidi" w:cstheme="majorBidi"/>
          <w:color w:val="FF0000"/>
          <w:szCs w:val="32"/>
          <w:lang w:val="en"/>
        </w:rPr>
        <w:t>[Font: Times New Roman, 11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>, Not more than 300 words</w:t>
      </w:r>
      <w:r w:rsidR="00FE51DC" w:rsidRPr="001F37E2">
        <w:rPr>
          <w:rFonts w:asciiTheme="majorBidi" w:hAnsiTheme="majorBidi" w:cstheme="majorBidi"/>
          <w:color w:val="FF0000"/>
          <w:szCs w:val="32"/>
          <w:lang w:val="en"/>
        </w:rPr>
        <w:t>]</w:t>
      </w:r>
    </w:p>
    <w:p w14:paraId="0179708C" w14:textId="2ADF54AC" w:rsidR="00491CDA" w:rsidRPr="00A312B5" w:rsidRDefault="00491CDA" w:rsidP="00491CDA">
      <w:pPr>
        <w:spacing w:after="0" w:line="240" w:lineRule="auto"/>
        <w:jc w:val="both"/>
        <w:rPr>
          <w:rStyle w:val="tlid-translation"/>
          <w:rFonts w:asciiTheme="majorBidi" w:hAnsiTheme="majorBidi" w:cstheme="majorBidi"/>
          <w:lang w:val="en"/>
        </w:rPr>
      </w:pPr>
    </w:p>
    <w:p w14:paraId="54C00B99" w14:textId="3476C1AA" w:rsidR="00491CDA" w:rsidRPr="00A312B5" w:rsidRDefault="00491CDA" w:rsidP="00491CDA">
      <w:pPr>
        <w:spacing w:after="0" w:line="240" w:lineRule="auto"/>
        <w:jc w:val="both"/>
        <w:rPr>
          <w:rStyle w:val="tlid-translation"/>
          <w:rFonts w:asciiTheme="majorBidi" w:hAnsiTheme="majorBidi" w:cstheme="majorBidi"/>
          <w:b/>
          <w:bCs/>
          <w:i/>
          <w:iCs/>
          <w:lang w:bidi="ar"/>
        </w:rPr>
      </w:pPr>
      <w:r w:rsidRPr="00A312B5">
        <w:rPr>
          <w:rStyle w:val="tlid-translation"/>
          <w:rFonts w:asciiTheme="majorBidi" w:hAnsiTheme="majorBidi" w:cstheme="majorBidi"/>
          <w:b/>
          <w:bCs/>
          <w:i/>
          <w:iCs/>
          <w:lang w:val="en"/>
        </w:rPr>
        <w:t>Keywords</w:t>
      </w:r>
      <w:r w:rsidRPr="00A312B5">
        <w:rPr>
          <w:rStyle w:val="tlid-translation"/>
          <w:rFonts w:asciiTheme="majorBidi" w:hAnsiTheme="majorBidi" w:cstheme="majorBidi"/>
          <w:i/>
          <w:iCs/>
          <w:lang w:val="en"/>
        </w:rPr>
        <w:t xml:space="preserve">: </w:t>
      </w:r>
      <w:r w:rsidR="00A60CE7">
        <w:rPr>
          <w:rStyle w:val="tlid-translation"/>
          <w:rFonts w:asciiTheme="majorBidi" w:hAnsiTheme="majorBidi" w:cstheme="majorBidi"/>
          <w:i/>
          <w:iCs/>
          <w:lang w:val="en"/>
        </w:rPr>
        <w:t>T</w:t>
      </w:r>
      <w:r w:rsidRPr="00A312B5">
        <w:rPr>
          <w:rStyle w:val="tlid-translation"/>
          <w:rFonts w:asciiTheme="majorBidi" w:hAnsiTheme="majorBidi" w:cstheme="majorBidi"/>
          <w:i/>
          <w:iCs/>
          <w:lang w:val="en"/>
        </w:rPr>
        <w:t xml:space="preserve">he role of the Malaysian government, economy, society, </w:t>
      </w:r>
      <w:r w:rsidR="00A312B5" w:rsidRPr="00A312B5">
        <w:rPr>
          <w:rStyle w:val="tlid-translation"/>
          <w:rFonts w:asciiTheme="majorBidi" w:hAnsiTheme="majorBidi" w:cstheme="majorBidi"/>
          <w:i/>
          <w:iCs/>
          <w:lang w:val="en"/>
        </w:rPr>
        <w:t>M</w:t>
      </w:r>
      <w:r w:rsidRPr="00A312B5">
        <w:rPr>
          <w:rStyle w:val="tlid-translation"/>
          <w:rFonts w:asciiTheme="majorBidi" w:hAnsiTheme="majorBidi" w:cstheme="majorBidi"/>
          <w:i/>
          <w:iCs/>
          <w:lang w:val="en"/>
        </w:rPr>
        <w:t>ovement</w:t>
      </w:r>
      <w:r w:rsidR="00A312B5" w:rsidRPr="00A312B5">
        <w:rPr>
          <w:rStyle w:val="tlid-translation"/>
          <w:rFonts w:asciiTheme="majorBidi" w:hAnsiTheme="majorBidi" w:cstheme="majorBidi"/>
          <w:i/>
          <w:iCs/>
          <w:lang w:val="en"/>
        </w:rPr>
        <w:t xml:space="preserve"> Control Order</w:t>
      </w:r>
      <w:r w:rsidRPr="00A312B5">
        <w:rPr>
          <w:rStyle w:val="tlid-translation"/>
          <w:rFonts w:asciiTheme="majorBidi" w:hAnsiTheme="majorBidi" w:cstheme="majorBidi"/>
          <w:i/>
          <w:iCs/>
          <w:lang w:val="en"/>
        </w:rPr>
        <w:t xml:space="preserve">, COVID-19, </w:t>
      </w:r>
      <w:proofErr w:type="spellStart"/>
      <w:r w:rsidR="00A60CE7">
        <w:rPr>
          <w:rStyle w:val="tlid-translation"/>
          <w:rFonts w:asciiTheme="majorBidi" w:hAnsiTheme="majorBidi" w:cstheme="majorBidi"/>
          <w:i/>
          <w:iCs/>
          <w:lang w:val="en"/>
        </w:rPr>
        <w:t>Hifz</w:t>
      </w:r>
      <w:proofErr w:type="spellEnd"/>
      <w:r w:rsidR="00A60CE7">
        <w:rPr>
          <w:rStyle w:val="tlid-translation"/>
          <w:rFonts w:asciiTheme="majorBidi" w:hAnsiTheme="majorBidi" w:cstheme="majorBidi"/>
          <w:i/>
          <w:iCs/>
          <w:lang w:val="en"/>
        </w:rPr>
        <w:t xml:space="preserve"> al-Mal</w:t>
      </w:r>
      <w:r w:rsidRPr="00A312B5">
        <w:rPr>
          <w:rStyle w:val="tlid-translation"/>
          <w:rFonts w:asciiTheme="majorBidi" w:hAnsiTheme="majorBidi" w:cstheme="majorBidi"/>
          <w:i/>
          <w:iCs/>
          <w:lang w:val="en"/>
        </w:rPr>
        <w:t>.</w:t>
      </w:r>
      <w:r w:rsidR="00FE51DC">
        <w:rPr>
          <w:rStyle w:val="tlid-translation"/>
          <w:rFonts w:asciiTheme="majorBidi" w:hAnsiTheme="majorBidi" w:cstheme="majorBidi"/>
          <w:i/>
          <w:iCs/>
          <w:lang w:val="en"/>
        </w:rPr>
        <w:t xml:space="preserve"> </w:t>
      </w:r>
      <w:r w:rsidR="00FE51DC" w:rsidRPr="001F37E2">
        <w:rPr>
          <w:rFonts w:asciiTheme="majorBidi" w:hAnsiTheme="majorBidi" w:cstheme="majorBidi"/>
          <w:color w:val="FF0000"/>
          <w:szCs w:val="32"/>
          <w:lang w:val="en"/>
        </w:rPr>
        <w:t xml:space="preserve">[Font: Times New Roman, </w:t>
      </w:r>
      <w:r w:rsidR="00FE51DC">
        <w:rPr>
          <w:rFonts w:asciiTheme="majorBidi" w:hAnsiTheme="majorBidi" w:cstheme="majorBidi"/>
          <w:color w:val="FF0000"/>
          <w:szCs w:val="32"/>
          <w:lang w:val="en"/>
        </w:rPr>
        <w:t xml:space="preserve">Italic, </w:t>
      </w:r>
      <w:r w:rsidR="00FE51DC" w:rsidRPr="001F37E2">
        <w:rPr>
          <w:rFonts w:asciiTheme="majorBidi" w:hAnsiTheme="majorBidi" w:cstheme="majorBidi"/>
          <w:color w:val="FF0000"/>
          <w:szCs w:val="32"/>
          <w:lang w:val="en"/>
        </w:rPr>
        <w:t>11]</w:t>
      </w:r>
    </w:p>
    <w:p w14:paraId="09366A7A" w14:textId="77777777" w:rsidR="00491CDA" w:rsidRDefault="00491CDA" w:rsidP="00491CDA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</w:pPr>
    </w:p>
    <w:p w14:paraId="47AD77BD" w14:textId="1F922E80" w:rsidR="00160182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</w:pPr>
      <w:r w:rsidRPr="00B541E7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>مقدمة</w:t>
      </w:r>
      <w:r w:rsidR="00FE51DC">
        <w:rPr>
          <w:rStyle w:val="tlid-translation"/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E51DC">
        <w:rPr>
          <w:rFonts w:asciiTheme="majorBidi" w:hAnsiTheme="majorBidi" w:cstheme="majorBidi"/>
          <w:b/>
          <w:bCs/>
          <w:color w:val="FF0000"/>
          <w:szCs w:val="32"/>
          <w:lang w:val="en"/>
        </w:rPr>
        <w:t xml:space="preserve">[Font: </w:t>
      </w:r>
      <w:r w:rsidR="00FE51DC" w:rsidRPr="001F37E2">
        <w:rPr>
          <w:rFonts w:asciiTheme="majorBidi" w:hAnsiTheme="majorBidi" w:cstheme="majorBidi"/>
          <w:b/>
          <w:bCs/>
          <w:color w:val="FF0000"/>
          <w:szCs w:val="32"/>
          <w:lang w:val="en"/>
        </w:rPr>
        <w:t>Traditional Arabic, Bold, 16]</w:t>
      </w:r>
    </w:p>
    <w:p w14:paraId="64D77702" w14:textId="569335F4" w:rsidR="00160182" w:rsidRPr="00B541E7" w:rsidRDefault="00FE51DC" w:rsidP="0016018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1F37E2">
        <w:rPr>
          <w:rFonts w:asciiTheme="majorBidi" w:hAnsiTheme="majorBidi" w:cstheme="majorBidi"/>
          <w:color w:val="FF0000"/>
          <w:szCs w:val="32"/>
          <w:lang w:val="en"/>
        </w:rPr>
        <w:t>[Font: Traditional Arabic, 16]</w:t>
      </w:r>
      <w:r>
        <w:rPr>
          <w:rFonts w:asciiTheme="majorBidi" w:hAnsiTheme="majorBidi" w:cstheme="majorBidi" w:hint="cs"/>
          <w:color w:val="FF0000"/>
          <w:szCs w:val="32"/>
          <w:rtl/>
          <w:lang w:val="en"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اعتبارًا من مارس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2020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الماضي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قررت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الحكومة الماليزية أن أكثر من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126100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شخص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قد أصيبوا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ب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فيروس كوفيد-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19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في جميع أنحاء العالم وتوفي أكثر من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4600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شخص بسبب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ه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.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وقد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انتشر وباء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سريع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حتى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أنه هد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َّ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د المجتمع الدولي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،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ولم يستثن أيّ دولة، منها دولة ماليزيا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لذلك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، اتخذ رئيس وزراء ماليزيا إجراءات صارمة لمنع انتشار الوباء إلى المواطنين الماليزيين وفرض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تقييد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الحركة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(</w:t>
      </w:r>
      <w:r w:rsidR="00160182" w:rsidRPr="00F5287A">
        <w:rPr>
          <w:rStyle w:val="tlid-translation"/>
          <w:rFonts w:asciiTheme="majorBidi" w:hAnsiTheme="majorBidi" w:cstheme="majorBidi"/>
          <w:lang w:val="en-US" w:bidi="ar"/>
        </w:rPr>
        <w:t>MCO=Movement Control Order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)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ب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مراحل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معينة متعددة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مما أدى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هذا الموقف إلى قيام الم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ؤسسات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الحكومية بدور في تعبئة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تقييد الحركة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لمنع انتشار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 ماليزيا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يُنظر إلى هذا الدور من زوايا مختلفة من بينها القطاعات الاقتصادية المتأثرة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أوضح محمد يوسف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(2020)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أن الكثيرين لا يتوقعون أن تؤدي أزمة وباء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كوفيد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إلى كارثة أكبر على الاقتصاد الماليزي مقارنة بالأزمات الأخرى مثل الحرب التجاري بين الصين والولايات المتحدة</w:t>
      </w:r>
      <w:r w:rsidR="00160182" w:rsidRPr="00B541E7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.</w:t>
      </w:r>
    </w:p>
    <w:p w14:paraId="38FD7067" w14:textId="77777777" w:rsidR="00160182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</w:pPr>
    </w:p>
    <w:p w14:paraId="7F688034" w14:textId="01E4E3DC" w:rsidR="00160182" w:rsidRPr="00823E52" w:rsidRDefault="00160182" w:rsidP="00FE51D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823E52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>الدراسات السابقة</w:t>
      </w:r>
      <w:r w:rsidR="00FE51DC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 w:rsidR="00FE51DC">
        <w:rPr>
          <w:rFonts w:asciiTheme="majorBidi" w:hAnsiTheme="majorBidi" w:cstheme="majorBidi"/>
          <w:b/>
          <w:bCs/>
          <w:color w:val="FF0000"/>
          <w:szCs w:val="32"/>
          <w:lang w:val="en"/>
        </w:rPr>
        <w:t xml:space="preserve">[Font: </w:t>
      </w:r>
      <w:r w:rsidR="00FE51DC" w:rsidRPr="001F37E2">
        <w:rPr>
          <w:rFonts w:asciiTheme="majorBidi" w:hAnsiTheme="majorBidi" w:cstheme="majorBidi"/>
          <w:b/>
          <w:bCs/>
          <w:color w:val="FF0000"/>
          <w:szCs w:val="32"/>
          <w:lang w:val="en"/>
        </w:rPr>
        <w:t>Traditional Arabic, Bold, 16]</w:t>
      </w:r>
    </w:p>
    <w:p w14:paraId="6C26FD62" w14:textId="6889A7F5" w:rsidR="00160182" w:rsidRPr="00FA2752" w:rsidRDefault="00FE51DC" w:rsidP="00063B96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2"/>
          <w:szCs w:val="32"/>
          <w:rtl/>
          <w:lang w:val="ms-MY"/>
        </w:rPr>
      </w:pPr>
      <w:r w:rsidRPr="00594133">
        <w:rPr>
          <w:rFonts w:ascii="Times New Roman" w:hAnsi="Times New Roman" w:cs="Times New Roman"/>
          <w:color w:val="FF0000"/>
          <w:lang w:val="en"/>
        </w:rPr>
        <w:t xml:space="preserve">[Font: Traditional Arabic, </w:t>
      </w:r>
      <w:proofErr w:type="gramStart"/>
      <w:r w:rsidRPr="00594133">
        <w:rPr>
          <w:rFonts w:ascii="Times New Roman" w:hAnsi="Times New Roman" w:cs="Times New Roman"/>
          <w:color w:val="FF0000"/>
          <w:lang w:val="en"/>
        </w:rPr>
        <w:t>16]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ليس</w:t>
      </w:r>
      <w:proofErr w:type="gramEnd"/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هناك من ينكر أن الفيروس الصغير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-19 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قد هز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َّ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العالم 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فعل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ياً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، من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نواح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مختلفة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منها قطاع 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الاقتصاد في كل بلد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مؤشرات مستوى الاستقرار الاقتصادي المحلي التي يمكن الاستفادة منها هي المؤشر الرائد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(</w:t>
      </w:r>
      <w:r w:rsidR="00160182" w:rsidRPr="00F5287A">
        <w:rPr>
          <w:rStyle w:val="tlid-translation"/>
          <w:rFonts w:asciiTheme="majorBidi" w:hAnsiTheme="majorBidi" w:cstheme="majorBidi"/>
          <w:lang w:bidi="ar"/>
        </w:rPr>
        <w:t>Leading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 w:rsidRPr="00F5287A">
        <w:rPr>
          <w:rStyle w:val="tlid-translation"/>
          <w:rFonts w:asciiTheme="majorBidi" w:hAnsiTheme="majorBidi" w:cstheme="majorBidi"/>
          <w:lang w:bidi="ar"/>
        </w:rPr>
        <w:t>Index = LI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)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 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ومؤشر أسعار المستهلك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(</w:t>
      </w:r>
      <w:r w:rsidR="00160182" w:rsidRPr="00F5287A">
        <w:rPr>
          <w:rStyle w:val="tlid-translation"/>
          <w:rFonts w:asciiTheme="majorBidi" w:hAnsiTheme="majorBidi" w:cstheme="majorBidi"/>
          <w:lang w:bidi="ar"/>
        </w:rPr>
        <w:t>CPI = Consumer Price Index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) 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(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شهير </w:t>
      </w:r>
      <w:r w:rsidR="00160182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2020).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وبعد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ذلك ، يوضح مؤشر أسعار المستهلك القوة الشرائية للأفراد وتأثيرات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 w:rsidR="00160182"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-19 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على معدل التضخم الوطني</w:t>
      </w:r>
      <w:r w:rsidR="00160182" w:rsidRPr="00823E52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</w:p>
    <w:p w14:paraId="2ED38686" w14:textId="77777777" w:rsidR="00160182" w:rsidRPr="00855CD7" w:rsidRDefault="00160182" w:rsidP="00160182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2"/>
          <w:szCs w:val="32"/>
          <w:rtl/>
          <w:lang w:val="ms-MY"/>
        </w:rPr>
      </w:pPr>
    </w:p>
    <w:p w14:paraId="03DC8824" w14:textId="3E54296D" w:rsidR="00160182" w:rsidRPr="009C4CA7" w:rsidRDefault="00160182" w:rsidP="0016018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ms-MY"/>
        </w:rPr>
      </w:pPr>
      <w:r w:rsidRPr="009C4CA7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 xml:space="preserve">المناقشة </w:t>
      </w:r>
    </w:p>
    <w:p w14:paraId="3E5F8F2A" w14:textId="42FAE3A8" w:rsidR="00160182" w:rsidRPr="001F721E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</w:rPr>
      </w:pP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في قاموس كامبريدج ،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عن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ى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-19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يعني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مرضًا معديًا يسببه نوع من ال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فيروسات يُعرف باسم فيروس كورونا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عادة 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ما يسبب الحمى وال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تعب والسعال و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ال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مشاكل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 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الت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َّ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ن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ُّ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س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ِيَّة أيضا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.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غالبًا ما يكون المرض غير خطير ولكنه يمكن أن يسبب حالات خطيرة لدى بعض الأشخاص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(</w:t>
      </w:r>
      <w:proofErr w:type="spellStart"/>
      <w:r w:rsidRPr="008B11D1">
        <w:rPr>
          <w:rStyle w:val="tlid-translation"/>
          <w:rFonts w:asciiTheme="majorBidi" w:hAnsiTheme="majorBidi" w:cstheme="majorBidi"/>
          <w:lang w:bidi="ar"/>
        </w:rPr>
        <w:t>Mclntosh</w:t>
      </w:r>
      <w:proofErr w:type="spellEnd"/>
      <w:r w:rsidR="008E0C8B">
        <w:rPr>
          <w:rStyle w:val="tlid-translation"/>
          <w:rFonts w:asciiTheme="majorBidi" w:hAnsiTheme="majorBidi" w:cstheme="majorBidi"/>
          <w:lang w:val="ms-MY" w:bidi="ar"/>
        </w:rPr>
        <w:t>,</w:t>
      </w:r>
      <w:r w:rsidRPr="008B11D1">
        <w:rPr>
          <w:rStyle w:val="tlid-translation"/>
          <w:rFonts w:asciiTheme="majorBidi" w:hAnsiTheme="majorBidi" w:cstheme="majorBidi"/>
          <w:lang w:val="en-US" w:bidi="ar"/>
        </w:rPr>
        <w:t xml:space="preserve"> 2013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)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.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 قاموس أكسفورد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، يع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ني</w:t>
      </w:r>
      <w:r w:rsidRPr="00F0032B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-19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هي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فيروس كورونا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، وهو فيروس يمكن أن يسبب الالتهاب الرئوي وأمراض أخرى للإنسان والحيوان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(</w:t>
      </w:r>
      <w:r w:rsidRPr="008B11D1">
        <w:rPr>
          <w:rStyle w:val="tlid-translation"/>
          <w:rFonts w:asciiTheme="majorBidi" w:hAnsiTheme="majorBidi" w:cstheme="majorBidi"/>
          <w:lang w:bidi="ar"/>
        </w:rPr>
        <w:t>Stevenson</w:t>
      </w:r>
      <w:r w:rsidR="008E0C8B">
        <w:rPr>
          <w:rStyle w:val="tlid-translation"/>
          <w:rFonts w:asciiTheme="majorBidi" w:hAnsiTheme="majorBidi" w:cstheme="majorBidi"/>
          <w:lang w:bidi="ar"/>
        </w:rPr>
        <w:t>,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val="en-US" w:bidi="ar"/>
        </w:rPr>
        <w:t xml:space="preserve"> </w:t>
      </w:r>
      <w:r w:rsidRPr="008B11D1">
        <w:rPr>
          <w:rStyle w:val="tlid-translation"/>
          <w:rFonts w:asciiTheme="majorBidi" w:hAnsiTheme="majorBidi" w:cstheme="majorBidi"/>
          <w:lang w:val="en-US" w:bidi="ar"/>
        </w:rPr>
        <w:t>2010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)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.</w:t>
      </w:r>
    </w:p>
    <w:p w14:paraId="73042009" w14:textId="77777777" w:rsidR="00160182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</w:rPr>
      </w:pPr>
    </w:p>
    <w:p w14:paraId="004DFB0D" w14:textId="6E33F378" w:rsidR="00160182" w:rsidRPr="0010598A" w:rsidRDefault="00160182" w:rsidP="00160182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2"/>
          <w:szCs w:val="32"/>
          <w:rtl/>
          <w:lang w:val="ms-MY"/>
        </w:rPr>
      </w:pP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lastRenderedPageBreak/>
        <w:t xml:space="preserve">يُعرَّف فيروس كورونا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2019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(</w:t>
      </w:r>
      <w:r w:rsidRPr="00F00AB5">
        <w:rPr>
          <w:rStyle w:val="tlid-translation"/>
          <w:rFonts w:asciiTheme="majorBidi" w:hAnsiTheme="majorBidi" w:cstheme="majorBidi"/>
          <w:lang w:bidi="ar"/>
        </w:rPr>
        <w:t>COVID-19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)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بأنه مرض يسبب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ه فيروس </w:t>
      </w:r>
      <w:r w:rsidRPr="00717676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كورونا ال</w:t>
      </w:r>
      <w:r w:rsidRPr="00717676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مستجد</w:t>
      </w:r>
      <w:r w:rsidRPr="00717676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يسمى الآن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متلازمة التنفس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الحادة الوخيمة فيروس كورونا،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و عرفت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أول مرة في خضم تفشي حالات أمراض التنفس في مدينة ووهان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، مقاطعة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هوبى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، الصين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تم الإبلاغ عنه في البداية إلى منظمة الصحة العالمية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(</w:t>
      </w:r>
      <w:r w:rsidRPr="00F00AB5">
        <w:rPr>
          <w:rStyle w:val="tlid-translation"/>
          <w:rFonts w:asciiTheme="majorBidi" w:hAnsiTheme="majorBidi" w:cstheme="majorBidi"/>
          <w:lang w:bidi="ar"/>
        </w:rPr>
        <w:t>WHO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)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31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ديسمبر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2019.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30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يناير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2020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، أعلنت منظمة الصحة العالمية أن وباء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-19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يمثل حالة طوارئ صحية عالمية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11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مارس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2020 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، أعلنت منظمة الصحة العالمية أن</w:t>
      </w:r>
      <w:r w:rsidRPr="001F721E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كوفيد 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19 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وباء عالمي ، وهو أول ذكر منذ إعلان أنفلونزا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F00AB5">
        <w:rPr>
          <w:rStyle w:val="tlid-translation"/>
          <w:rFonts w:asciiTheme="majorBidi" w:hAnsiTheme="majorBidi" w:cstheme="majorBidi"/>
          <w:lang w:bidi="ar"/>
        </w:rPr>
        <w:t>H1N1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وباء في عام 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2009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(</w:t>
      </w:r>
      <w:r w:rsidRPr="00F00AB5">
        <w:rPr>
          <w:rFonts w:asciiTheme="majorBidi" w:hAnsiTheme="majorBidi" w:cstheme="majorBidi"/>
          <w:lang w:val="ms-MY"/>
        </w:rPr>
        <w:t>Cennimo, 2020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)</w:t>
      </w:r>
      <w:r w:rsidRPr="0010598A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.</w:t>
      </w:r>
    </w:p>
    <w:p w14:paraId="5731AE11" w14:textId="2FA71B8D" w:rsidR="00160182" w:rsidRPr="00316419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</w:pPr>
    </w:p>
    <w:p w14:paraId="27EF9F3D" w14:textId="77777777" w:rsidR="00160182" w:rsidRPr="007B6D2F" w:rsidRDefault="00160182" w:rsidP="0016018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6D2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</w:rPr>
        <w:t>تنفيذ أمر تقييد الحركة</w:t>
      </w:r>
      <w:r w:rsidRPr="007B6D2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lang w:bidi="ar"/>
        </w:rPr>
        <w:t xml:space="preserve"> (</w:t>
      </w:r>
      <w:r w:rsidRPr="00F00AB5">
        <w:rPr>
          <w:rStyle w:val="tlid-translation"/>
          <w:rFonts w:asciiTheme="majorBidi" w:hAnsiTheme="majorBidi" w:cstheme="majorBidi"/>
          <w:b/>
          <w:bCs/>
          <w:lang w:val="en-US" w:bidi="ar"/>
        </w:rPr>
        <w:t>Movement Control Order (MCO)</w:t>
      </w:r>
      <w:r w:rsidRPr="007B6D2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lang w:bidi="ar"/>
        </w:rPr>
        <w:t xml:space="preserve">) </w:t>
      </w:r>
      <w:r w:rsidRPr="007B6D2F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</w:rPr>
        <w:t>في ماليزيا</w:t>
      </w:r>
    </w:p>
    <w:p w14:paraId="2EBCB191" w14:textId="2DFC703C" w:rsidR="00160182" w:rsidRPr="00C56E48" w:rsidRDefault="00160182" w:rsidP="00AC2B02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</w:pP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يشير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أمر تقييد الحركة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(</w:t>
      </w:r>
      <w:r w:rsidRPr="00F00AB5">
        <w:rPr>
          <w:rStyle w:val="tlid-translation"/>
          <w:rFonts w:asciiTheme="majorBidi" w:hAnsiTheme="majorBidi" w:cstheme="majorBidi"/>
          <w:lang w:val="en-US" w:bidi="ar"/>
        </w:rPr>
        <w:t>MCO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)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إلى الإجراءات الوقائية التي اتخذتها مملكة الاتحاد الماليزي ضد وباء فيروس كورونا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(</w:t>
      </w:r>
      <w:r w:rsidRPr="00F00AB5">
        <w:rPr>
          <w:rStyle w:val="tlid-translation"/>
          <w:rFonts w:asciiTheme="majorBidi" w:hAnsiTheme="majorBidi" w:cstheme="majorBidi"/>
          <w:lang w:bidi="ar"/>
        </w:rPr>
        <w:t>COVID-19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)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16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مارس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2020.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لذلك،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تم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تنفيذ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"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الت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قييد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في الحركة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"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 جميع ال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ولايات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غالبًا ما يشار إلى هذا الحادث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من قبل العديد من وسائل الإعلام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، سواء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وسائل الإعلام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المحلية أو الدولية ، باسم 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>"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الحجر الصحي ال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ماليزي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 (</w:t>
      </w:r>
      <w:r w:rsidRPr="00F00AB5">
        <w:rPr>
          <w:rStyle w:val="tlid-translation"/>
          <w:rFonts w:asciiTheme="majorBidi" w:hAnsiTheme="majorBidi" w:cstheme="majorBidi"/>
          <w:lang w:val="en-US" w:bidi="ar"/>
        </w:rPr>
        <w:t>Wikipedia</w:t>
      </w:r>
      <w:r w:rsidR="008E0C8B">
        <w:rPr>
          <w:rStyle w:val="tlid-translation"/>
          <w:rFonts w:asciiTheme="majorBidi" w:hAnsiTheme="majorBidi" w:cstheme="majorBidi"/>
          <w:lang w:val="en-US" w:bidi="ar"/>
        </w:rPr>
        <w:t>,</w:t>
      </w:r>
      <w:r w:rsidRPr="00F00AB5">
        <w:rPr>
          <w:rStyle w:val="tlid-translation"/>
          <w:rFonts w:asciiTheme="majorBidi" w:hAnsiTheme="majorBidi" w:cstheme="majorBidi"/>
          <w:lang w:val="en-US" w:bidi="ar"/>
        </w:rPr>
        <w:t xml:space="preserve"> 2010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).</w:t>
      </w:r>
      <w:r w:rsidRPr="007B6D2F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</w:p>
    <w:p w14:paraId="223C76D5" w14:textId="6DCCF080" w:rsidR="00160182" w:rsidRPr="00E028F1" w:rsidRDefault="00160182" w:rsidP="00160182">
      <w:pPr>
        <w:spacing w:after="0" w:line="240" w:lineRule="auto"/>
        <w:jc w:val="both"/>
        <w:rPr>
          <w:rFonts w:ascii="Traditional Arabic" w:hAnsi="Traditional Arabic" w:cs="Traditional Arabic"/>
          <w:color w:val="FF0000"/>
          <w:sz w:val="32"/>
          <w:szCs w:val="32"/>
          <w:lang w:val="ms-MY"/>
        </w:rPr>
      </w:pPr>
    </w:p>
    <w:p w14:paraId="04A791B0" w14:textId="77777777" w:rsidR="00160182" w:rsidRPr="00652565" w:rsidRDefault="00160182" w:rsidP="0016018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en-US"/>
        </w:rPr>
      </w:pPr>
      <w:r w:rsidRPr="00652565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</w:rPr>
        <w:t>دور الحكومة الماليزية في القطاع الاقتصادي</w:t>
      </w:r>
    </w:p>
    <w:p w14:paraId="535F416D" w14:textId="3F568D64" w:rsidR="00160182" w:rsidRDefault="00160182" w:rsidP="00E36D46">
      <w:pPr>
        <w:bidi/>
        <w:spacing w:after="0"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</w:pP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لعبت الحكومة الماليزية دورها الهامّ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للمساعدة في التجار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ات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و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ال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محتويات المن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زلية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المتأثرة بـ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-19.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لذلك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خصص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بنك </w:t>
      </w:r>
      <w:r w:rsidRPr="00E827B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نيجارا ماليزيا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تسهيلات تمويل تصل إلى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3.3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مليار رينغيت ماليزي في إطار صندوق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بنك </w:t>
      </w:r>
      <w:r w:rsidRPr="00E827B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نيجارا ماليزيا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للشركات الصغيرة والبسيطة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(</w:t>
      </w:r>
      <w:r w:rsidRPr="00503BEB">
        <w:rPr>
          <w:rStyle w:val="tlid-translation"/>
          <w:rFonts w:asciiTheme="majorBidi" w:hAnsiTheme="majorBidi" w:cstheme="majorBidi"/>
          <w:lang w:bidi="ar"/>
        </w:rPr>
        <w:t>PKS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)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. 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ي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هدف إلى دعم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الشركات المذكورة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 استمرار العمليات التجارية، والاحتفاظ بالعاملين وتشجيع الاستثمار المحلي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.</w:t>
      </w:r>
    </w:p>
    <w:p w14:paraId="78358C92" w14:textId="0E843D46" w:rsidR="00160182" w:rsidRPr="00086441" w:rsidRDefault="00160182" w:rsidP="00160182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ms-MY"/>
        </w:rPr>
      </w:pPr>
    </w:p>
    <w:p w14:paraId="395EBAC5" w14:textId="77777777" w:rsidR="00160182" w:rsidRDefault="00160182" w:rsidP="00160182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ms-MY"/>
        </w:rPr>
      </w:pPr>
    </w:p>
    <w:p w14:paraId="022FE99E" w14:textId="77777777" w:rsidR="00160182" w:rsidRDefault="00160182" w:rsidP="00160182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ms-MY"/>
        </w:rPr>
      </w:pPr>
    </w:p>
    <w:p w14:paraId="032201E8" w14:textId="77777777" w:rsidR="00160182" w:rsidRDefault="00160182" w:rsidP="00160182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  <w:lang w:val="ms-MY" w:bidi="ar-EG"/>
        </w:rPr>
      </w:pPr>
      <w:r w:rsidRPr="00D948C7">
        <w:rPr>
          <w:rFonts w:ascii="Palatino Linotype" w:hAnsi="Palatino Linotype" w:cs="Times New Roman"/>
          <w:noProof/>
          <w:sz w:val="24"/>
          <w:szCs w:val="24"/>
          <w:lang w:val="ms-MY" w:eastAsia="ms-MY"/>
        </w:rPr>
        <w:lastRenderedPageBreak/>
        <w:drawing>
          <wp:inline distT="0" distB="0" distL="0" distR="0" wp14:anchorId="193F6BAD" wp14:editId="0BC3D0FD">
            <wp:extent cx="5490210" cy="3086100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AAFDAE7" w14:textId="77777777" w:rsidR="00160182" w:rsidRDefault="00160182" w:rsidP="00160182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ms-MY"/>
        </w:rPr>
      </w:pPr>
    </w:p>
    <w:p w14:paraId="576DB48A" w14:textId="77777777" w:rsidR="00160182" w:rsidRDefault="00160182" w:rsidP="00160182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val="ms-MY"/>
        </w:rPr>
      </w:pPr>
    </w:p>
    <w:p w14:paraId="26B40885" w14:textId="0D3E9252" w:rsidR="00160182" w:rsidRDefault="00160182" w:rsidP="00160182">
      <w:pPr>
        <w:bidi/>
        <w:spacing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</w:pP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ُ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ض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ِّ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ح الرسم البياني أعلاه أن </w:t>
      </w:r>
      <w:r w:rsidRPr="00471F48">
        <w:rPr>
          <w:rStyle w:val="tlid-translation"/>
          <w:rFonts w:ascii="Traditional Arabic" w:hAnsi="Traditional Arabic" w:cs="Traditional Arabic"/>
          <w:i/>
          <w:iCs/>
          <w:sz w:val="32"/>
          <w:szCs w:val="32"/>
          <w:rtl/>
        </w:rPr>
        <w:t>حفظ المال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ه</w:t>
      </w:r>
      <w:r w:rsidR="00A11C8B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و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طريقة للعناية بالممتلكات يشار إليها من قبل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بنك </w:t>
      </w:r>
      <w:r w:rsidRPr="00E827B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نيجارا ماليزيا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كمؤسسة حكومية 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تحرك فِعْلِيَّ</w:t>
      </w:r>
      <w:r w:rsidR="00C75975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من الق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ِ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طاع الاقتصادي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.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ُ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ِّ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ر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بنك </w:t>
      </w:r>
      <w:r w:rsidRPr="00E827B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نيجارا ماليزيا</w:t>
      </w:r>
      <w:r w:rsidRPr="00E028F1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حزمة تحفيز اقتصادي للناس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فترة تقييد الحركة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من بينها تقديم التسهيلات المصرفية التي 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ْ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مناقشتها في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ال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سابق أثناء انتشار وبا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ء 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-19.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ِ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ُّ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ذلك لتوفير الرفاهية ل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لناس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المتأثرين بالدخل بسبب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تقييد الحركة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.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 xml:space="preserve">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ومع ذلك، نجح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تقييد الحركة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في منع انتشار وباء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على الرغم من أنه لم 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ِ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م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َّ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تنفيذه بالكامل</w:t>
      </w:r>
      <w:r w:rsidRPr="00FB5428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.</w:t>
      </w:r>
    </w:p>
    <w:p w14:paraId="63B7AFDB" w14:textId="77777777" w:rsidR="00160182" w:rsidRPr="00865305" w:rsidRDefault="00160182" w:rsidP="00160182">
      <w:pPr>
        <w:bidi/>
        <w:spacing w:line="240" w:lineRule="auto"/>
        <w:jc w:val="both"/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  <w:lang w:bidi="ar"/>
        </w:rPr>
      </w:pPr>
      <w:r w:rsidRPr="00865305">
        <w:rPr>
          <w:rStyle w:val="tlid-translation"/>
          <w:rFonts w:ascii="Traditional Arabic" w:hAnsi="Traditional Arabic" w:cs="Traditional Arabic"/>
          <w:b/>
          <w:bCs/>
          <w:sz w:val="32"/>
          <w:szCs w:val="32"/>
          <w:rtl/>
        </w:rPr>
        <w:t>خاتمة</w:t>
      </w:r>
    </w:p>
    <w:p w14:paraId="18E240B9" w14:textId="31B16A33" w:rsidR="00160182" w:rsidRDefault="00160182" w:rsidP="00160182">
      <w:pPr>
        <w:bidi/>
        <w:spacing w:line="240" w:lineRule="auto"/>
        <w:jc w:val="both"/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</w:pP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ُ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ُّ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انتشار وباء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كوفيد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-19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أزمة مرضية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حيث </w:t>
      </w:r>
      <w:r w:rsidR="00C75975"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إ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نها 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ُ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ؤ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َ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ث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ِّ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ر على جميع القطاعات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،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منها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: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القطاع الاقتصادي في كل من البلاد والشعب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.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إن التكاتف في كسر سلسلة الوباء أمر متوقع للغاية حتى تعود الحياة إلى طبيعتها كالمعتا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>د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  <w:lang w:bidi="ar"/>
        </w:rPr>
        <w:t>.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 xml:space="preserve"> 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يشمل الق</w:t>
      </w:r>
      <w:r>
        <w:rPr>
          <w:rStyle w:val="tlid-translation"/>
          <w:rFonts w:ascii="Traditional Arabic" w:hAnsi="Traditional Arabic" w:cs="Traditional Arabic"/>
          <w:sz w:val="32"/>
          <w:szCs w:val="32"/>
          <w:rtl/>
        </w:rPr>
        <w:t>طاع الاقتصادي المؤسسات المالية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rtl/>
        </w:rPr>
        <w:t xml:space="preserve"> والتجار والمستلزمات اليومية</w:t>
      </w:r>
      <w:r>
        <w:rPr>
          <w:rStyle w:val="tlid-translation"/>
          <w:rFonts w:ascii="Traditional Arabic" w:hAnsi="Traditional Arabic" w:cs="Traditional Arabic" w:hint="cs"/>
          <w:sz w:val="32"/>
          <w:szCs w:val="32"/>
          <w:rtl/>
        </w:rPr>
        <w:t xml:space="preserve"> وأمثالها</w:t>
      </w:r>
      <w:r w:rsidRPr="00865305">
        <w:rPr>
          <w:rStyle w:val="tlid-translation"/>
          <w:rFonts w:ascii="Traditional Arabic" w:hAnsi="Traditional Arabic" w:cs="Traditional Arabic"/>
          <w:sz w:val="32"/>
          <w:szCs w:val="32"/>
          <w:lang w:bidi="ar"/>
        </w:rPr>
        <w:t>.</w:t>
      </w:r>
    </w:p>
    <w:p w14:paraId="4E29AB92" w14:textId="77777777" w:rsidR="00160182" w:rsidRPr="004E1DE5" w:rsidRDefault="00160182" w:rsidP="0016018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ms-MY"/>
        </w:rPr>
      </w:pPr>
    </w:p>
    <w:p w14:paraId="2FA7D9E1" w14:textId="77777777" w:rsidR="00160182" w:rsidRPr="00146D37" w:rsidRDefault="00160182" w:rsidP="00160182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ms-MY"/>
        </w:rPr>
      </w:pPr>
    </w:p>
    <w:p w14:paraId="753202D6" w14:textId="77777777" w:rsidR="00FE51DC" w:rsidRPr="007939D5" w:rsidRDefault="004E1DE5" w:rsidP="00FE51DC">
      <w:pPr>
        <w:pStyle w:val="NoSpacing"/>
        <w:rPr>
          <w:rFonts w:asciiTheme="majorBidi" w:hAnsiTheme="majorBidi" w:cs="Traditional Arabic"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lang w:val="ms-MY"/>
        </w:rPr>
        <w:t>REFERENCES</w:t>
      </w:r>
      <w:r w:rsidR="00FE51DC">
        <w:rPr>
          <w:rFonts w:asciiTheme="majorBidi" w:hAnsiTheme="majorBidi" w:cstheme="majorBidi"/>
          <w:b/>
          <w:bCs/>
          <w:lang w:val="ms-MY"/>
        </w:rPr>
        <w:t xml:space="preserve"> </w:t>
      </w:r>
      <w:r w:rsidR="00FE51DC" w:rsidRPr="007939D5">
        <w:rPr>
          <w:rFonts w:asciiTheme="majorBidi" w:hAnsiTheme="majorBidi" w:cs="Traditional Arabic"/>
          <w:bCs/>
          <w:color w:val="FF0000"/>
          <w:sz w:val="22"/>
          <w:szCs w:val="22"/>
        </w:rPr>
        <w:t xml:space="preserve">[Font: Times New Roman, </w:t>
      </w:r>
      <w:r w:rsidR="00FE51DC">
        <w:rPr>
          <w:rFonts w:asciiTheme="majorBidi" w:hAnsiTheme="majorBidi" w:cs="Traditional Arabic"/>
          <w:bCs/>
          <w:color w:val="FF0000"/>
          <w:sz w:val="22"/>
          <w:szCs w:val="22"/>
        </w:rPr>
        <w:t>Bold, 11</w:t>
      </w:r>
      <w:r w:rsidR="00FE51DC" w:rsidRPr="007939D5">
        <w:rPr>
          <w:rFonts w:asciiTheme="majorBidi" w:hAnsiTheme="majorBidi" w:cs="Traditional Arabic"/>
          <w:bCs/>
          <w:color w:val="FF0000"/>
          <w:sz w:val="22"/>
          <w:szCs w:val="22"/>
        </w:rPr>
        <w:t>]</w:t>
      </w:r>
    </w:p>
    <w:p w14:paraId="2058BB89" w14:textId="5D2BD25C" w:rsidR="00160182" w:rsidRPr="00FE51DC" w:rsidRDefault="00160182" w:rsidP="00160182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14:paraId="69C48BCD" w14:textId="47EC1573" w:rsidR="004E1DE5" w:rsidRPr="00FE51DC" w:rsidRDefault="00FE51DC" w:rsidP="00FE51DC">
      <w:pPr>
        <w:spacing w:line="240" w:lineRule="auto"/>
        <w:rPr>
          <w:rFonts w:asciiTheme="majorBidi" w:hAnsiTheme="majorBidi" w:cstheme="majorBidi"/>
          <w:b/>
          <w:color w:val="FF0000"/>
        </w:rPr>
      </w:pPr>
      <w:bookmarkStart w:id="1" w:name="_Hlk8369997"/>
      <w:r w:rsidRPr="007939D5">
        <w:rPr>
          <w:rFonts w:asciiTheme="majorBidi" w:hAnsiTheme="majorBidi" w:cstheme="majorBidi"/>
          <w:bCs/>
          <w:color w:val="FF0000"/>
        </w:rPr>
        <w:t xml:space="preserve">[Font: Times New Roman, 11] </w:t>
      </w:r>
      <w:r w:rsidRPr="007939D5">
        <w:rPr>
          <w:rFonts w:asciiTheme="majorBidi" w:hAnsiTheme="majorBidi" w:cstheme="majorBidi"/>
          <w:b/>
          <w:color w:val="FF0000"/>
        </w:rPr>
        <w:t>(APA Sixth Edition, Single Spacing)</w:t>
      </w:r>
      <w:bookmarkEnd w:id="1"/>
    </w:p>
    <w:p w14:paraId="071F4500" w14:textId="43D34DA9" w:rsidR="00160182" w:rsidRPr="00E93B56" w:rsidRDefault="00160182" w:rsidP="0016018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lang w:val="ms-MY"/>
        </w:rPr>
      </w:pPr>
      <w:r w:rsidRPr="00E93B56">
        <w:rPr>
          <w:rFonts w:asciiTheme="majorBidi" w:hAnsiTheme="majorBidi" w:cstheme="majorBidi"/>
          <w:lang w:val="ms-MY"/>
        </w:rPr>
        <w:t xml:space="preserve">Al-Izz ibn Abd al-Salam, Abu Muhammad Izz al-Din Abd al-Aziz ibn Abd al-Salam Ibn Abi al-Qasim al-Hasan al-Salmi al-Dimashq. </w:t>
      </w:r>
      <w:r w:rsidR="00073793">
        <w:rPr>
          <w:rFonts w:asciiTheme="majorBidi" w:hAnsiTheme="majorBidi" w:cstheme="majorBidi"/>
          <w:lang w:val="ms-MY"/>
        </w:rPr>
        <w:t>(</w:t>
      </w:r>
      <w:r w:rsidRPr="00E93B56">
        <w:rPr>
          <w:rFonts w:asciiTheme="majorBidi" w:hAnsiTheme="majorBidi" w:cstheme="majorBidi"/>
          <w:lang w:val="ms-MY"/>
        </w:rPr>
        <w:t>1441H/1991</w:t>
      </w:r>
      <w:r w:rsidR="00073793">
        <w:rPr>
          <w:rFonts w:asciiTheme="majorBidi" w:hAnsiTheme="majorBidi" w:cstheme="majorBidi"/>
          <w:lang w:val="ms-MY"/>
        </w:rPr>
        <w:t>)</w:t>
      </w:r>
      <w:r w:rsidRPr="00E93B56">
        <w:rPr>
          <w:rFonts w:asciiTheme="majorBidi" w:hAnsiTheme="majorBidi" w:cstheme="majorBidi"/>
          <w:lang w:val="ms-MY"/>
        </w:rPr>
        <w:t xml:space="preserve">. </w:t>
      </w:r>
      <w:r w:rsidRPr="00E93B56">
        <w:rPr>
          <w:rFonts w:asciiTheme="majorBidi" w:hAnsiTheme="majorBidi" w:cstheme="majorBidi"/>
          <w:i/>
          <w:iCs/>
          <w:lang w:val="ms-MY"/>
        </w:rPr>
        <w:t>Qawaid al-Ahkam fi Masalih al-Anam</w:t>
      </w:r>
      <w:r w:rsidRPr="00E93B56">
        <w:rPr>
          <w:rFonts w:asciiTheme="majorBidi" w:hAnsiTheme="majorBidi" w:cstheme="majorBidi"/>
          <w:lang w:val="ms-MY"/>
        </w:rPr>
        <w:t xml:space="preserve">. Tahqiq: Taha Abd al-Rauf Saad. Juz. 2, hlm. 33. Al-Qaherah: Maktabat al-Kulliyyat al-Azhariyyah. </w:t>
      </w:r>
    </w:p>
    <w:p w14:paraId="55A6B663" w14:textId="5773B12F" w:rsidR="00160182" w:rsidRPr="00E93B56" w:rsidRDefault="00160182" w:rsidP="0016018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lang w:val="ms-MY"/>
        </w:rPr>
      </w:pPr>
      <w:r w:rsidRPr="00E93B56">
        <w:rPr>
          <w:rFonts w:asciiTheme="majorBidi" w:hAnsiTheme="majorBidi" w:cstheme="majorBidi"/>
          <w:lang w:val="ms-MY"/>
        </w:rPr>
        <w:t xml:space="preserve">Al-Zuhaili, Wahbah. </w:t>
      </w:r>
      <w:r w:rsidR="00073793">
        <w:rPr>
          <w:rFonts w:asciiTheme="majorBidi" w:hAnsiTheme="majorBidi" w:cstheme="majorBidi"/>
          <w:lang w:val="ms-MY"/>
        </w:rPr>
        <w:t>(</w:t>
      </w:r>
      <w:r w:rsidRPr="00E93B56">
        <w:rPr>
          <w:rFonts w:asciiTheme="majorBidi" w:hAnsiTheme="majorBidi" w:cstheme="majorBidi"/>
          <w:lang w:val="ms-MY"/>
        </w:rPr>
        <w:t>1417H/1996</w:t>
      </w:r>
      <w:r w:rsidR="00073793">
        <w:rPr>
          <w:rFonts w:asciiTheme="majorBidi" w:hAnsiTheme="majorBidi" w:cstheme="majorBidi"/>
          <w:lang w:val="ms-MY"/>
        </w:rPr>
        <w:t>)</w:t>
      </w:r>
      <w:r w:rsidRPr="00E93B56">
        <w:rPr>
          <w:rFonts w:asciiTheme="majorBidi" w:hAnsiTheme="majorBidi" w:cstheme="majorBidi"/>
          <w:lang w:val="ms-MY"/>
        </w:rPr>
        <w:t xml:space="preserve">. </w:t>
      </w:r>
      <w:r w:rsidRPr="00E93B56">
        <w:rPr>
          <w:rFonts w:asciiTheme="majorBidi" w:hAnsiTheme="majorBidi" w:cstheme="majorBidi"/>
          <w:i/>
          <w:iCs/>
          <w:lang w:val="ms-MY"/>
        </w:rPr>
        <w:t>Usul al-Fiqh al-Islami</w:t>
      </w:r>
      <w:r w:rsidRPr="00E93B56">
        <w:rPr>
          <w:rFonts w:asciiTheme="majorBidi" w:hAnsiTheme="majorBidi" w:cstheme="majorBidi"/>
          <w:lang w:val="ms-MY"/>
        </w:rPr>
        <w:t>. Juz. 2. Dimasyq: Dar al-Fikr.</w:t>
      </w:r>
    </w:p>
    <w:p w14:paraId="77AFE64D" w14:textId="77777777" w:rsidR="00160182" w:rsidRPr="00E93B56" w:rsidRDefault="00160182" w:rsidP="0016018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b/>
          <w:bCs/>
          <w:lang w:val="ms-MY"/>
        </w:rPr>
      </w:pPr>
      <w:r w:rsidRPr="00E93B56">
        <w:rPr>
          <w:rFonts w:asciiTheme="majorBidi" w:hAnsiTheme="majorBidi" w:cstheme="majorBidi"/>
          <w:lang w:val="ms-MY"/>
        </w:rPr>
        <w:t xml:space="preserve">Adib Povera. 2020. RM250 BILLION Stimulus Package Announced. </w:t>
      </w:r>
      <w:r w:rsidRPr="00E93B56">
        <w:rPr>
          <w:rFonts w:asciiTheme="majorBidi" w:hAnsiTheme="majorBidi" w:cstheme="majorBidi"/>
          <w:i/>
          <w:iCs/>
          <w:lang w:val="ms-MY"/>
        </w:rPr>
        <w:t>New Straits Times</w:t>
      </w:r>
      <w:r w:rsidRPr="00E93B56">
        <w:rPr>
          <w:rFonts w:asciiTheme="majorBidi" w:hAnsiTheme="majorBidi" w:cstheme="majorBidi"/>
          <w:lang w:val="ms-MY"/>
        </w:rPr>
        <w:t xml:space="preserve">. 27 March. </w:t>
      </w:r>
      <w:hyperlink r:id="rId12" w:history="1">
        <w:r w:rsidRPr="00E93B56">
          <w:rPr>
            <w:rStyle w:val="Hyperlink"/>
            <w:rFonts w:asciiTheme="majorBidi" w:hAnsiTheme="majorBidi" w:cstheme="majorBidi"/>
            <w:lang w:val="ms-MY"/>
          </w:rPr>
          <w:t>https://www.nst.com.my/news/nation/2020/03/578692 [23</w:t>
        </w:r>
      </w:hyperlink>
      <w:r w:rsidRPr="00E93B56">
        <w:rPr>
          <w:rFonts w:asciiTheme="majorBidi" w:hAnsiTheme="majorBidi" w:cstheme="majorBidi"/>
          <w:lang w:val="ms-MY"/>
        </w:rPr>
        <w:t xml:space="preserve"> September 2020]</w:t>
      </w:r>
    </w:p>
    <w:p w14:paraId="32231F38" w14:textId="06859E0A" w:rsidR="00160182" w:rsidRPr="00E93B56" w:rsidRDefault="00160182" w:rsidP="00160182">
      <w:pPr>
        <w:pStyle w:val="Bibliography"/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lang w:val="ms-MY"/>
        </w:rPr>
      </w:pPr>
      <w:r w:rsidRPr="00E93B56">
        <w:rPr>
          <w:rFonts w:asciiTheme="majorBidi" w:hAnsiTheme="majorBidi" w:cstheme="majorBidi"/>
          <w:lang w:val="ms-MY"/>
        </w:rPr>
        <w:lastRenderedPageBreak/>
        <w:t xml:space="preserve">Ain Umaira Md Shah et. al. </w:t>
      </w:r>
      <w:r w:rsidR="00073793">
        <w:rPr>
          <w:rFonts w:asciiTheme="majorBidi" w:hAnsiTheme="majorBidi" w:cstheme="majorBidi"/>
          <w:lang w:val="ms-MY"/>
        </w:rPr>
        <w:t>(</w:t>
      </w:r>
      <w:r w:rsidRPr="00E93B56">
        <w:rPr>
          <w:rFonts w:asciiTheme="majorBidi" w:hAnsiTheme="majorBidi" w:cstheme="majorBidi"/>
          <w:lang w:val="ms-MY"/>
        </w:rPr>
        <w:t>2020</w:t>
      </w:r>
      <w:r w:rsidR="00073793">
        <w:rPr>
          <w:rFonts w:asciiTheme="majorBidi" w:hAnsiTheme="majorBidi" w:cstheme="majorBidi"/>
          <w:lang w:val="ms-MY"/>
        </w:rPr>
        <w:t>)</w:t>
      </w:r>
      <w:r w:rsidRPr="00E93B56">
        <w:rPr>
          <w:rFonts w:asciiTheme="majorBidi" w:hAnsiTheme="majorBidi" w:cstheme="majorBidi"/>
          <w:lang w:val="ms-MY"/>
        </w:rPr>
        <w:t xml:space="preserve">. </w:t>
      </w:r>
      <w:r w:rsidRPr="00E93B56">
        <w:rPr>
          <w:rFonts w:asciiTheme="majorBidi" w:hAnsiTheme="majorBidi" w:cstheme="majorBidi"/>
          <w:noProof/>
          <w:lang w:val="ms-MY"/>
        </w:rPr>
        <w:t xml:space="preserve">COVID-19 Outbreak in Malaysia: Action Taken by The Malaysian Government. </w:t>
      </w:r>
      <w:r w:rsidRPr="00E93B56">
        <w:rPr>
          <w:rFonts w:asciiTheme="majorBidi" w:hAnsiTheme="majorBidi" w:cstheme="majorBidi"/>
          <w:i/>
          <w:iCs/>
          <w:noProof/>
          <w:lang w:val="ms-MY"/>
        </w:rPr>
        <w:t>International Journal of Infectious Diseases</w:t>
      </w:r>
      <w:r w:rsidRPr="00E93B56">
        <w:rPr>
          <w:rFonts w:asciiTheme="majorBidi" w:hAnsiTheme="majorBidi" w:cstheme="majorBidi"/>
          <w:noProof/>
          <w:lang w:val="ms-MY"/>
        </w:rPr>
        <w:t>, 108-116.</w:t>
      </w:r>
    </w:p>
    <w:p w14:paraId="25907D7F" w14:textId="77777777" w:rsidR="00160182" w:rsidRPr="00194908" w:rsidRDefault="00160182" w:rsidP="0016018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ms-MY"/>
        </w:rPr>
      </w:pPr>
    </w:p>
    <w:p w14:paraId="60C90494" w14:textId="69C1D5F8" w:rsidR="004F19FF" w:rsidRDefault="004F19FF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4C3A8633" w14:textId="7C3B3D12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7A2E6FC" w14:textId="0F840660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6F54686" w14:textId="1A9F5E9F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6EFDA85D" w14:textId="1430F73E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3589B7F3" w14:textId="7F62C87B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BB20368" w14:textId="473975D6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26A7068" w14:textId="4866FB34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31BFE74A" w14:textId="2A18D3DB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15844776" w14:textId="0EB6379D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F8028EB" w14:textId="72AEC9F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3687CA40" w14:textId="1266BCEA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A6A1150" w14:textId="2226D54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46D19708" w14:textId="719BE040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3F6E8FF" w14:textId="325527E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7E965CD" w14:textId="1FF30D84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4A5A4297" w14:textId="03B97932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D6B1A93" w14:textId="10E76813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18905F52" w14:textId="75A58C07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6AF9CE12" w14:textId="0C63672D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C79ECB5" w14:textId="4C7AC0E8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1C47665D" w14:textId="7A2ECEB4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0BCD62F" w14:textId="1771C096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1F6098C" w14:textId="56D8E52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9DCB45C" w14:textId="03000312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32826E41" w14:textId="50CC8D9B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261438E" w14:textId="78698D07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4543BB5" w14:textId="2E835377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F25C55B" w14:textId="67113F0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1BACAD77" w14:textId="4A877C9B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4AC41FFF" w14:textId="610C63B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335B04EE" w14:textId="45D8EBF0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2DE028FC" w14:textId="0B911A60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8AD8BA5" w14:textId="14D330AE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4FF40BB" w14:textId="4F62FE47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23C1DA6A" w14:textId="5EE4C835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9E17FD6" w14:textId="2AF1DB68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1B7AF422" w14:textId="56F47D8A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C80F204" w14:textId="79D19051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79A5FD8" w14:textId="785BDB60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76FBE017" w14:textId="37D0DA0D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6249FCC3" w14:textId="4B72AF16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09B3CE90" w14:textId="52082F8C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1F14E168" w14:textId="7F181A8F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ABFE09A" w14:textId="0E184924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4BAB1B5" w14:textId="19405F79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559B5BF4" w14:textId="442385EB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21D55FE4" w14:textId="11CC674D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69A3B4A9" w14:textId="4856A05E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p w14:paraId="3E532258" w14:textId="16596EE6" w:rsidR="00B162BE" w:rsidRDefault="00B162BE" w:rsidP="004F19FF">
      <w:pPr>
        <w:pStyle w:val="NoSpacing"/>
        <w:jc w:val="both"/>
        <w:rPr>
          <w:rFonts w:asciiTheme="majorBidi" w:hAnsiTheme="majorBidi" w:cs="Traditional Arabic"/>
          <w:sz w:val="22"/>
          <w:szCs w:val="22"/>
        </w:rPr>
      </w:pPr>
    </w:p>
    <w:bookmarkStart w:id="2" w:name="_Hlk117179054"/>
    <w:p w14:paraId="00003ABC" w14:textId="172F4981" w:rsidR="00B162BE" w:rsidRDefault="00B162BE" w:rsidP="00B162BE">
      <w:pPr>
        <w:pStyle w:val="NoSpacing"/>
        <w:bidi/>
        <w:jc w:val="both"/>
        <w:rPr>
          <w:rFonts w:asciiTheme="majorBidi" w:hAnsiTheme="majorBidi" w:cs="Traditional Arabic"/>
          <w:sz w:val="22"/>
          <w:szCs w:val="22"/>
          <w:rtl/>
          <w:lang w:bidi="ar-EG"/>
        </w:rPr>
      </w:pPr>
      <w:r w:rsidRPr="00C834A4">
        <w:rPr>
          <w:noProof/>
          <w:sz w:val="32"/>
          <w:szCs w:val="32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79BD7" wp14:editId="780D7ABC">
                <wp:simplePos x="0" y="0"/>
                <wp:positionH relativeFrom="column">
                  <wp:posOffset>-552450</wp:posOffset>
                </wp:positionH>
                <wp:positionV relativeFrom="paragraph">
                  <wp:posOffset>168910</wp:posOffset>
                </wp:positionV>
                <wp:extent cx="6924675" cy="8915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891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473B" id="Rectangle 2" o:spid="_x0000_s1026" style="position:absolute;margin-left:-43.5pt;margin-top:13.3pt;width:545.25pt;height:7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" filled="f" strokecolor="#1f4d78 [1604]" strokeweight="1pt"/>
            </w:pict>
          </mc:Fallback>
        </mc:AlternateContent>
      </w:r>
      <w:bookmarkEnd w:id="2"/>
    </w:p>
    <w:p w14:paraId="49C03948" w14:textId="382A7F19" w:rsidR="00B162BE" w:rsidRDefault="00B162BE" w:rsidP="00B162BE">
      <w:pPr>
        <w:pStyle w:val="NoSpacing"/>
        <w:bidi/>
        <w:jc w:val="both"/>
        <w:rPr>
          <w:rFonts w:asciiTheme="majorBidi" w:hAnsiTheme="majorBidi" w:cs="Traditional Arabic"/>
          <w:sz w:val="22"/>
          <w:szCs w:val="22"/>
          <w:rtl/>
          <w:lang w:bidi="ar-EG"/>
        </w:rPr>
      </w:pPr>
    </w:p>
    <w:p w14:paraId="38619956" w14:textId="15B4C442" w:rsidR="00B162BE" w:rsidRPr="00C834A4" w:rsidRDefault="00B162BE" w:rsidP="00B162BE">
      <w:pPr>
        <w:shd w:val="clear" w:color="auto" w:fill="FFC000"/>
        <w:bidi/>
        <w:jc w:val="center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C834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إرشادات </w:t>
      </w:r>
      <w:r w:rsidRPr="00C834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لكاتب الورقة</w:t>
      </w:r>
    </w:p>
    <w:p w14:paraId="13444413" w14:textId="77777777" w:rsidR="00B162BE" w:rsidRPr="00813DD3" w:rsidRDefault="00B162BE" w:rsidP="00B162BE">
      <w:pPr>
        <w:pStyle w:val="ListParagraph"/>
        <w:numPr>
          <w:ilvl w:val="0"/>
          <w:numId w:val="6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يجب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تكون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الأوراق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مكتوبة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باللّغة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الإنجليزيّة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أو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العربيّة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أو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الملايويّة</w:t>
      </w:r>
    </w:p>
    <w:p w14:paraId="3CF447DF" w14:textId="77777777" w:rsidR="00B162BE" w:rsidRPr="00813DD3" w:rsidRDefault="00B162BE" w:rsidP="00B162BE">
      <w:pPr>
        <w:pStyle w:val="ListParagraph"/>
        <w:numPr>
          <w:ilvl w:val="0"/>
          <w:numId w:val="6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نوع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الخطّ للّغة العربيّة: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val="ms-MY" w:bidi="ar-EG"/>
        </w:rPr>
        <w:t>(</w:t>
      </w:r>
      <w:r w:rsidRPr="00B94DBA">
        <w:rPr>
          <w:rFonts w:ascii="Traditional Arabic" w:hAnsi="Traditional Arabic" w:cs="Traditional Arabic"/>
          <w:lang w:val="ms-MY" w:bidi="ar-EG"/>
        </w:rPr>
        <w:t>Traditional Arabic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val="ms-MY" w:bidi="ar-EG"/>
        </w:rPr>
        <w:t xml:space="preserve"> )</w:t>
      </w:r>
      <w:r w:rsidRPr="00813DD3">
        <w:rPr>
          <w:rFonts w:ascii="Traditional Arabic" w:hAnsi="Traditional Arabic" w:cs="Traditional Arabic"/>
          <w:sz w:val="32"/>
          <w:szCs w:val="32"/>
          <w:lang w:bidi="ar-EG"/>
        </w:rPr>
        <w:t>.</w:t>
      </w:r>
    </w:p>
    <w:p w14:paraId="02760DFB" w14:textId="77777777" w:rsidR="00B162BE" w:rsidRPr="00813DD3" w:rsidRDefault="00B162BE" w:rsidP="00B162BE">
      <w:pPr>
        <w:pStyle w:val="ListParagraph"/>
        <w:numPr>
          <w:ilvl w:val="0"/>
          <w:numId w:val="6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الكلمات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المفتاحيّة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للورقة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2-4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كلمات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مفتاحيّة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كافية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14:paraId="0603131B" w14:textId="77777777" w:rsidR="00B162BE" w:rsidRPr="00813DD3" w:rsidRDefault="00B162BE" w:rsidP="00B162BE">
      <w:pPr>
        <w:pStyle w:val="ListParagraph"/>
        <w:numPr>
          <w:ilvl w:val="0"/>
          <w:numId w:val="6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يجب كتابة الورقة بلغة سليمة، خالية من الأخطاء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النّحويّة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والإملائيّة.</w:t>
      </w:r>
    </w:p>
    <w:p w14:paraId="3F0099C6" w14:textId="77777777" w:rsidR="00B162BE" w:rsidRPr="00813DD3" w:rsidRDefault="00B162BE" w:rsidP="00B162BE">
      <w:pPr>
        <w:pStyle w:val="ListParagraph"/>
        <w:numPr>
          <w:ilvl w:val="0"/>
          <w:numId w:val="6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ينبغي ألاّ تتجاوز عدد الصّفحات عن 15 صفحة،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ويجب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كتابتها وفق قالب المؤتمر، وعلى ضوء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منهج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علميّ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يشمل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</w:p>
    <w:p w14:paraId="15181CC9" w14:textId="7782D2B7" w:rsidR="00B162BE" w:rsidRPr="00813DD3" w:rsidRDefault="00B162BE" w:rsidP="005E3B9D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العنوان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5E3B9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يجب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ألّا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يزيد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عنوان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الورقة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عن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15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كلمة.</w:t>
      </w:r>
    </w:p>
    <w:p w14:paraId="591509BC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المقدّمة</w:t>
      </w:r>
    </w:p>
    <w:p w14:paraId="17234C6A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المشكلة</w:t>
      </w:r>
    </w:p>
    <w:p w14:paraId="40372D30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الأهداف</w:t>
      </w:r>
    </w:p>
    <w:p w14:paraId="1FCD6A7F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الدّراسات السّابقة</w:t>
      </w:r>
    </w:p>
    <w:p w14:paraId="267B5EBC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منهج البحث</w:t>
      </w:r>
    </w:p>
    <w:p w14:paraId="65EE088B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الخاتمة والنّتائج</w:t>
      </w:r>
      <w:r w:rsidRPr="00813DD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وتحليلها</w:t>
      </w:r>
    </w:p>
    <w:p w14:paraId="77CAA9D0" w14:textId="77777777" w:rsidR="00B162BE" w:rsidRPr="00813DD3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التّوصيات</w:t>
      </w:r>
    </w:p>
    <w:p w14:paraId="34E1914A" w14:textId="77777777" w:rsidR="00B162BE" w:rsidRDefault="00B162BE" w:rsidP="00B162BE">
      <w:pPr>
        <w:pStyle w:val="ListParagraph"/>
        <w:numPr>
          <w:ilvl w:val="1"/>
          <w:numId w:val="8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813D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المصادر والمراجع</w:t>
      </w:r>
    </w:p>
    <w:p w14:paraId="4C8FA01E" w14:textId="77777777" w:rsidR="00B162BE" w:rsidRPr="00CB2163" w:rsidRDefault="00B162BE" w:rsidP="00B162BE">
      <w:pPr>
        <w:pStyle w:val="ListParagraph"/>
        <w:bidi/>
        <w:ind w:left="144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</w:p>
    <w:p w14:paraId="3CFE8FBE" w14:textId="77777777" w:rsidR="00B162BE" w:rsidRPr="00813DD3" w:rsidRDefault="00B162BE" w:rsidP="00B162BE">
      <w:pPr>
        <w:pStyle w:val="ListParagraph"/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حجم الخطّ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(انظر القالب)</w:t>
      </w:r>
    </w:p>
    <w:p w14:paraId="0CDD34A2" w14:textId="77777777" w:rsidR="00B162BE" w:rsidRPr="00813DD3" w:rsidRDefault="00B162BE" w:rsidP="00B162BE">
      <w:pPr>
        <w:pStyle w:val="ListParagraph"/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813D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المصادر والمراجع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</w:t>
      </w:r>
      <w:r w:rsidRPr="006A0658">
        <w:rPr>
          <w:rFonts w:ascii="Traditional Arabic" w:hAnsi="Traditional Arabic" w:cs="Traditional Arabic"/>
          <w:lang w:bidi="ar-EG"/>
        </w:rPr>
        <w:t>APA Sixth Edition, Single Spacing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)</w:t>
      </w:r>
    </w:p>
    <w:p w14:paraId="1D38DEB4" w14:textId="77777777" w:rsidR="00B162BE" w:rsidRPr="006A0658" w:rsidRDefault="00B162BE" w:rsidP="00B162BE">
      <w:pPr>
        <w:bidi/>
        <w:jc w:val="both"/>
        <w:rPr>
          <w:rFonts w:ascii="Traditional Arabic" w:hAnsi="Traditional Arabic" w:cs="Traditional Arabic"/>
          <w:rtl/>
          <w:lang w:val="ms-MY" w:bidi="ar-EG"/>
        </w:rPr>
      </w:pPr>
      <w:r w:rsidRPr="006A0658">
        <w:rPr>
          <w:rFonts w:ascii="Traditional Arabic" w:hAnsi="Traditional Arabic" w:cs="Traditional Arabic"/>
          <w:rtl/>
          <w:lang w:bidi="ar-EG"/>
        </w:rPr>
        <w:tab/>
      </w:r>
    </w:p>
    <w:p w14:paraId="515AC536" w14:textId="77777777" w:rsidR="00B162BE" w:rsidRPr="00537FD1" w:rsidRDefault="00B162BE" w:rsidP="00B162BE">
      <w:pPr>
        <w:pStyle w:val="NoSpacing"/>
        <w:bidi/>
        <w:jc w:val="both"/>
        <w:rPr>
          <w:rFonts w:asciiTheme="majorBidi" w:hAnsiTheme="majorBidi" w:cs="Traditional Arabic"/>
          <w:sz w:val="22"/>
          <w:szCs w:val="22"/>
          <w:rtl/>
          <w:lang w:bidi="ar-EG"/>
        </w:rPr>
      </w:pPr>
    </w:p>
    <w:sectPr w:rsidR="00B162BE" w:rsidRPr="00537FD1" w:rsidSect="00206573">
      <w:headerReference w:type="even" r:id="rId13"/>
      <w:headerReference w:type="default" r:id="rId14"/>
      <w:headerReference w:type="first" r:id="rId15"/>
      <w:pgSz w:w="11906" w:h="16838" w:code="9"/>
      <w:pgMar w:top="121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274D" w14:textId="77777777" w:rsidR="008B0F55" w:rsidRDefault="008B0F55" w:rsidP="00971D50">
      <w:pPr>
        <w:spacing w:after="0" w:line="240" w:lineRule="auto"/>
      </w:pPr>
      <w:r>
        <w:separator/>
      </w:r>
    </w:p>
  </w:endnote>
  <w:endnote w:type="continuationSeparator" w:id="0">
    <w:p w14:paraId="3BAFEF7C" w14:textId="77777777" w:rsidR="008B0F55" w:rsidRDefault="008B0F55" w:rsidP="0097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B08B" w14:textId="77777777" w:rsidR="008B0F55" w:rsidRDefault="008B0F55" w:rsidP="00971D50">
      <w:pPr>
        <w:spacing w:after="0" w:line="240" w:lineRule="auto"/>
      </w:pPr>
      <w:r>
        <w:separator/>
      </w:r>
    </w:p>
  </w:footnote>
  <w:footnote w:type="continuationSeparator" w:id="0">
    <w:p w14:paraId="42012680" w14:textId="77777777" w:rsidR="008B0F55" w:rsidRDefault="008B0F55" w:rsidP="0097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9771" w14:textId="77777777" w:rsidR="00652565" w:rsidRPr="000D4F15" w:rsidRDefault="00652565" w:rsidP="00652565">
    <w:pPr>
      <w:pStyle w:val="Header"/>
      <w:tabs>
        <w:tab w:val="clear" w:pos="4513"/>
        <w:tab w:val="clear" w:pos="9026"/>
        <w:tab w:val="right" w:pos="5760"/>
      </w:tabs>
      <w:jc w:val="center"/>
      <w:rPr>
        <w:b/>
        <w:bCs/>
        <w:color w:val="FFFFFF" w:themeColor="background1"/>
        <w:sz w:val="18"/>
        <w:szCs w:val="18"/>
      </w:rPr>
    </w:pPr>
    <w:r w:rsidRPr="000D4F15">
      <w:rPr>
        <w:b/>
        <w:bCs/>
        <w:color w:val="FFFFFF" w:themeColor="background1"/>
        <w:sz w:val="18"/>
        <w:szCs w:val="18"/>
      </w:rPr>
      <w:t>The 3</w:t>
    </w:r>
    <w:r w:rsidRPr="000D4F15">
      <w:rPr>
        <w:b/>
        <w:bCs/>
        <w:color w:val="FFFFFF" w:themeColor="background1"/>
        <w:sz w:val="18"/>
        <w:szCs w:val="18"/>
        <w:vertAlign w:val="superscript"/>
      </w:rPr>
      <w:t>rd</w:t>
    </w:r>
    <w:r w:rsidRPr="000D4F15">
      <w:rPr>
        <w:b/>
        <w:bCs/>
        <w:color w:val="FFFFFF" w:themeColor="background1"/>
        <w:sz w:val="18"/>
        <w:szCs w:val="18"/>
      </w:rPr>
      <w:t xml:space="preserve"> International Conference of the Postgraduate Students and Academics in Syariah and Law 2020 (INPAC 2020)</w:t>
    </w:r>
  </w:p>
  <w:p w14:paraId="5DCC8E75" w14:textId="77777777" w:rsidR="00652565" w:rsidRPr="000D4F15" w:rsidRDefault="00652565" w:rsidP="00652565">
    <w:pPr>
      <w:pStyle w:val="Header"/>
      <w:tabs>
        <w:tab w:val="clear" w:pos="9026"/>
        <w:tab w:val="left" w:pos="3150"/>
        <w:tab w:val="right" w:pos="5760"/>
      </w:tabs>
      <w:jc w:val="center"/>
      <w:rPr>
        <w:color w:val="FFFFFF" w:themeColor="background1"/>
        <w:sz w:val="18"/>
        <w:szCs w:val="18"/>
      </w:rPr>
    </w:pPr>
    <w:r w:rsidRPr="000D4F15">
      <w:rPr>
        <w:color w:val="FFFFFF" w:themeColor="background1"/>
        <w:sz w:val="18"/>
        <w:szCs w:val="18"/>
      </w:rPr>
      <w:t>“Syariah and Law Approach in Solving Contemporary Issues”</w:t>
    </w:r>
  </w:p>
  <w:p w14:paraId="7487A8C0" w14:textId="77777777" w:rsidR="00620F13" w:rsidRPr="004F19FF" w:rsidRDefault="00620F13" w:rsidP="004F1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1A99" w14:textId="77777777" w:rsidR="00E66C3E" w:rsidRPr="00E66C3E" w:rsidRDefault="00E66C3E" w:rsidP="00E66C3E">
    <w:pPr>
      <w:bidi/>
      <w:jc w:val="center"/>
      <w:rPr>
        <w:rStyle w:val="tlid-translation"/>
        <w:rFonts w:asciiTheme="majorBidi" w:hAnsiTheme="majorBidi" w:cstheme="majorBidi"/>
        <w:b/>
        <w:bCs/>
        <w:sz w:val="20"/>
        <w:szCs w:val="20"/>
        <w:rtl/>
      </w:rPr>
    </w:pPr>
    <w:r w:rsidRPr="00E66C3E">
      <w:rPr>
        <w:rStyle w:val="tlid-translation"/>
        <w:rFonts w:asciiTheme="majorBidi" w:hAnsiTheme="majorBidi" w:cstheme="majorBidi"/>
        <w:b/>
        <w:bCs/>
        <w:sz w:val="20"/>
        <w:szCs w:val="20"/>
        <w:rtl/>
      </w:rPr>
      <w:t>دور الحكومة الماليزيّة في تطوير القطاع الاقتصادي فترة تقييد الحركة في ظلّ جائحة كوفيد 19</w:t>
    </w:r>
    <w:r w:rsidRPr="00E66C3E">
      <w:rPr>
        <w:rStyle w:val="tlid-translation"/>
        <w:rFonts w:asciiTheme="majorBidi" w:hAnsiTheme="majorBidi" w:cstheme="majorBidi"/>
        <w:b/>
        <w:bCs/>
        <w:sz w:val="20"/>
        <w:szCs w:val="20"/>
        <w:rtl/>
        <w:lang w:bidi="ar"/>
      </w:rPr>
      <w:t>:</w:t>
    </w:r>
    <w:r w:rsidRPr="00E66C3E">
      <w:rPr>
        <w:rStyle w:val="tlid-translation"/>
        <w:rFonts w:asciiTheme="majorBidi" w:hAnsiTheme="majorBidi" w:cstheme="majorBidi"/>
        <w:b/>
        <w:bCs/>
        <w:sz w:val="20"/>
        <w:szCs w:val="20"/>
        <w:rtl/>
      </w:rPr>
      <w:t xml:space="preserve"> </w:t>
    </w:r>
  </w:p>
  <w:p w14:paraId="1F293C92" w14:textId="77777777" w:rsidR="00E66C3E" w:rsidRPr="00E66C3E" w:rsidRDefault="00E66C3E" w:rsidP="00E66C3E">
    <w:pPr>
      <w:bidi/>
      <w:jc w:val="center"/>
      <w:rPr>
        <w:rStyle w:val="tlid-translation"/>
        <w:rFonts w:asciiTheme="majorBidi" w:hAnsiTheme="majorBidi" w:cstheme="majorBidi"/>
        <w:b/>
        <w:bCs/>
        <w:sz w:val="20"/>
        <w:szCs w:val="20"/>
        <w:rtl/>
      </w:rPr>
    </w:pPr>
    <w:r w:rsidRPr="00E66C3E">
      <w:rPr>
        <w:rStyle w:val="tlid-translation"/>
        <w:rFonts w:asciiTheme="majorBidi" w:hAnsiTheme="majorBidi" w:cstheme="majorBidi"/>
        <w:b/>
        <w:bCs/>
        <w:sz w:val="20"/>
        <w:szCs w:val="20"/>
        <w:rtl/>
      </w:rPr>
      <w:t>دراسة تحليلية شرعية</w:t>
    </w:r>
  </w:p>
  <w:p w14:paraId="2C0F7A2D" w14:textId="77777777" w:rsidR="00971D50" w:rsidRPr="003536CA" w:rsidRDefault="00971D50" w:rsidP="003536CA">
    <w:pPr>
      <w:pStyle w:val="Header"/>
      <w:rPr>
        <w:rFonts w:asciiTheme="majorBidi" w:hAnsiTheme="majorBidi" w:cstheme="majorBid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204C" w14:textId="075A478D" w:rsidR="006D53CF" w:rsidRPr="000B55D0" w:rsidRDefault="006D53CF" w:rsidP="00EA32E2">
    <w:pPr>
      <w:pStyle w:val="Header"/>
      <w:tabs>
        <w:tab w:val="clear" w:pos="4513"/>
        <w:tab w:val="clear" w:pos="9026"/>
        <w:tab w:val="right" w:pos="5760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The 4</w:t>
    </w:r>
    <w:r>
      <w:rPr>
        <w:b/>
        <w:bCs/>
        <w:sz w:val="18"/>
        <w:szCs w:val="18"/>
        <w:vertAlign w:val="superscript"/>
      </w:rPr>
      <w:t>th</w:t>
    </w:r>
    <w:r w:rsidRPr="000B55D0">
      <w:rPr>
        <w:b/>
        <w:bCs/>
        <w:sz w:val="18"/>
        <w:szCs w:val="18"/>
      </w:rPr>
      <w:t xml:space="preserve"> International Conference of the Postgraduate Students and Academics in Syariah and Law</w:t>
    </w:r>
    <w:r>
      <w:rPr>
        <w:b/>
        <w:bCs/>
        <w:sz w:val="18"/>
        <w:szCs w:val="18"/>
      </w:rPr>
      <w:t xml:space="preserve"> 202</w:t>
    </w:r>
    <w:r w:rsidR="00EA32E2">
      <w:rPr>
        <w:b/>
        <w:bCs/>
        <w:sz w:val="18"/>
        <w:szCs w:val="18"/>
      </w:rPr>
      <w:t>3 (INPAC 2023</w:t>
    </w:r>
    <w:r w:rsidRPr="000B55D0">
      <w:rPr>
        <w:b/>
        <w:bCs/>
        <w:sz w:val="18"/>
        <w:szCs w:val="18"/>
      </w:rPr>
      <w:t>)</w:t>
    </w:r>
  </w:p>
  <w:p w14:paraId="6994EFE1" w14:textId="77777777" w:rsidR="006D53CF" w:rsidRPr="000B55D0" w:rsidRDefault="006D53CF" w:rsidP="006D53CF">
    <w:pPr>
      <w:pStyle w:val="Header"/>
      <w:tabs>
        <w:tab w:val="clear" w:pos="9026"/>
        <w:tab w:val="left" w:pos="3150"/>
        <w:tab w:val="right" w:pos="5760"/>
      </w:tabs>
      <w:jc w:val="center"/>
      <w:rPr>
        <w:sz w:val="18"/>
        <w:szCs w:val="18"/>
      </w:rPr>
    </w:pPr>
    <w:r>
      <w:rPr>
        <w:sz w:val="18"/>
        <w:szCs w:val="18"/>
      </w:rPr>
      <w:t>“Syariah and Law Studies in Facing</w:t>
    </w:r>
    <w:r w:rsidRPr="000B55D0">
      <w:rPr>
        <w:sz w:val="18"/>
        <w:szCs w:val="18"/>
      </w:rPr>
      <w:t xml:space="preserve"> </w:t>
    </w:r>
    <w:r>
      <w:rPr>
        <w:sz w:val="18"/>
        <w:szCs w:val="18"/>
      </w:rPr>
      <w:t>the Contemporary Challenges</w:t>
    </w:r>
    <w:r w:rsidRPr="000B55D0">
      <w:rPr>
        <w:sz w:val="18"/>
        <w:szCs w:val="18"/>
      </w:rPr>
      <w:t>”</w:t>
    </w:r>
  </w:p>
  <w:p w14:paraId="285C5707" w14:textId="77777777" w:rsidR="00484932" w:rsidRDefault="00484932" w:rsidP="00484932">
    <w:pPr>
      <w:pStyle w:val="Header"/>
      <w:tabs>
        <w:tab w:val="clear" w:pos="4513"/>
        <w:tab w:val="clear" w:pos="9026"/>
        <w:tab w:val="right" w:pos="5760"/>
      </w:tabs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EAE"/>
    <w:multiLevelType w:val="hybridMultilevel"/>
    <w:tmpl w:val="49B05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18A"/>
    <w:multiLevelType w:val="hybridMultilevel"/>
    <w:tmpl w:val="5ABEB6A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5534"/>
    <w:multiLevelType w:val="hybridMultilevel"/>
    <w:tmpl w:val="F1F4B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26C1"/>
    <w:multiLevelType w:val="hybridMultilevel"/>
    <w:tmpl w:val="EB84DE6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2ADE"/>
    <w:multiLevelType w:val="hybridMultilevel"/>
    <w:tmpl w:val="6274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076C5"/>
    <w:multiLevelType w:val="hybridMultilevel"/>
    <w:tmpl w:val="4D368B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1C4"/>
    <w:multiLevelType w:val="hybridMultilevel"/>
    <w:tmpl w:val="E9D2B546"/>
    <w:lvl w:ilvl="0" w:tplc="043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11A1"/>
    <w:multiLevelType w:val="hybridMultilevel"/>
    <w:tmpl w:val="15B65F02"/>
    <w:lvl w:ilvl="0" w:tplc="043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0"/>
    <w:rsid w:val="00050DFF"/>
    <w:rsid w:val="00063B96"/>
    <w:rsid w:val="00073793"/>
    <w:rsid w:val="00077C8B"/>
    <w:rsid w:val="000B55D0"/>
    <w:rsid w:val="000C2B2F"/>
    <w:rsid w:val="000D4F15"/>
    <w:rsid w:val="000E0698"/>
    <w:rsid w:val="00112911"/>
    <w:rsid w:val="0014360E"/>
    <w:rsid w:val="00143CEF"/>
    <w:rsid w:val="00160182"/>
    <w:rsid w:val="001E570A"/>
    <w:rsid w:val="001F3B7D"/>
    <w:rsid w:val="00206573"/>
    <w:rsid w:val="00207AC7"/>
    <w:rsid w:val="00240B1B"/>
    <w:rsid w:val="00295B07"/>
    <w:rsid w:val="002A0323"/>
    <w:rsid w:val="002C796A"/>
    <w:rsid w:val="002F1C27"/>
    <w:rsid w:val="00342997"/>
    <w:rsid w:val="003536CA"/>
    <w:rsid w:val="00397DFF"/>
    <w:rsid w:val="003B5A88"/>
    <w:rsid w:val="004232A5"/>
    <w:rsid w:val="0046651D"/>
    <w:rsid w:val="00473B88"/>
    <w:rsid w:val="00484932"/>
    <w:rsid w:val="00491CDA"/>
    <w:rsid w:val="004A36F0"/>
    <w:rsid w:val="004C45CE"/>
    <w:rsid w:val="004E1DE5"/>
    <w:rsid w:val="004E6330"/>
    <w:rsid w:val="004F19FF"/>
    <w:rsid w:val="004F5830"/>
    <w:rsid w:val="00511B15"/>
    <w:rsid w:val="00537FD1"/>
    <w:rsid w:val="00543D5B"/>
    <w:rsid w:val="00565BF8"/>
    <w:rsid w:val="00583DF4"/>
    <w:rsid w:val="00594133"/>
    <w:rsid w:val="005B3DF9"/>
    <w:rsid w:val="005C52D7"/>
    <w:rsid w:val="005C5F17"/>
    <w:rsid w:val="005E3B9D"/>
    <w:rsid w:val="00620F13"/>
    <w:rsid w:val="00652565"/>
    <w:rsid w:val="006542DE"/>
    <w:rsid w:val="0067064A"/>
    <w:rsid w:val="0068034F"/>
    <w:rsid w:val="00690FA5"/>
    <w:rsid w:val="006A67DA"/>
    <w:rsid w:val="006B5D74"/>
    <w:rsid w:val="006D53CF"/>
    <w:rsid w:val="006F790C"/>
    <w:rsid w:val="007136F4"/>
    <w:rsid w:val="007A1B18"/>
    <w:rsid w:val="007A289C"/>
    <w:rsid w:val="007A7B78"/>
    <w:rsid w:val="007B75C4"/>
    <w:rsid w:val="007B7795"/>
    <w:rsid w:val="0082495C"/>
    <w:rsid w:val="00836F6D"/>
    <w:rsid w:val="00892DB1"/>
    <w:rsid w:val="008B0F55"/>
    <w:rsid w:val="008B24E1"/>
    <w:rsid w:val="008E0C8B"/>
    <w:rsid w:val="00971D50"/>
    <w:rsid w:val="00994F9A"/>
    <w:rsid w:val="009A51A6"/>
    <w:rsid w:val="009A7034"/>
    <w:rsid w:val="009C252B"/>
    <w:rsid w:val="009C4F7F"/>
    <w:rsid w:val="009C71B2"/>
    <w:rsid w:val="009E4448"/>
    <w:rsid w:val="009F713B"/>
    <w:rsid w:val="00A11C8B"/>
    <w:rsid w:val="00A312B5"/>
    <w:rsid w:val="00A44A3B"/>
    <w:rsid w:val="00A55AC4"/>
    <w:rsid w:val="00A574C6"/>
    <w:rsid w:val="00A60CE7"/>
    <w:rsid w:val="00AC2B02"/>
    <w:rsid w:val="00B06783"/>
    <w:rsid w:val="00B162BE"/>
    <w:rsid w:val="00B519E4"/>
    <w:rsid w:val="00B5687A"/>
    <w:rsid w:val="00BE72B5"/>
    <w:rsid w:val="00C11551"/>
    <w:rsid w:val="00C133C9"/>
    <w:rsid w:val="00C40878"/>
    <w:rsid w:val="00C52BC5"/>
    <w:rsid w:val="00C75975"/>
    <w:rsid w:val="00D23DD5"/>
    <w:rsid w:val="00D549B0"/>
    <w:rsid w:val="00DB3C7B"/>
    <w:rsid w:val="00DC5839"/>
    <w:rsid w:val="00DD3ECB"/>
    <w:rsid w:val="00DE39FD"/>
    <w:rsid w:val="00E1753E"/>
    <w:rsid w:val="00E36D46"/>
    <w:rsid w:val="00E66C3E"/>
    <w:rsid w:val="00EA32E2"/>
    <w:rsid w:val="00F006B0"/>
    <w:rsid w:val="00F01F31"/>
    <w:rsid w:val="00F02233"/>
    <w:rsid w:val="00F20C75"/>
    <w:rsid w:val="00F21701"/>
    <w:rsid w:val="00F36E59"/>
    <w:rsid w:val="00F53F36"/>
    <w:rsid w:val="00F73164"/>
    <w:rsid w:val="00FC1BAF"/>
    <w:rsid w:val="00FD1465"/>
    <w:rsid w:val="00FE0A98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F652F7"/>
  <w15:chartTrackingRefBased/>
  <w15:docId w15:val="{5C62896D-791F-4708-8278-E79D7FD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82"/>
  </w:style>
  <w:style w:type="paragraph" w:styleId="Heading1">
    <w:name w:val="heading 1"/>
    <w:basedOn w:val="Normal"/>
    <w:link w:val="Heading1Char"/>
    <w:uiPriority w:val="9"/>
    <w:qFormat/>
    <w:rsid w:val="0005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0DF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71D5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71D50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9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1D50"/>
  </w:style>
  <w:style w:type="paragraph" w:styleId="Footer">
    <w:name w:val="footer"/>
    <w:basedOn w:val="Normal"/>
    <w:link w:val="FooterChar"/>
    <w:unhideWhenUsed/>
    <w:rsid w:val="009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1D50"/>
  </w:style>
  <w:style w:type="character" w:styleId="Hyperlink">
    <w:name w:val="Hyperlink"/>
    <w:basedOn w:val="DefaultParagraphFont"/>
    <w:uiPriority w:val="99"/>
    <w:unhideWhenUsed/>
    <w:rsid w:val="009A70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D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50DFF"/>
    <w:rPr>
      <w:rFonts w:ascii="Calibri Light" w:eastAsia="Times New Roman" w:hAnsi="Calibri Light" w:cs="Times New Roman"/>
      <w:b/>
      <w:bCs/>
      <w:sz w:val="26"/>
      <w:szCs w:val="26"/>
      <w:lang w:val="en-US" w:eastAsia="lt-LT"/>
    </w:rPr>
  </w:style>
  <w:style w:type="paragraph" w:customStyle="1" w:styleId="prliminairetitre">
    <w:name w:val="prliminairetitre"/>
    <w:basedOn w:val="Normal"/>
    <w:rsid w:val="000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noteText">
    <w:name w:val="footnote text"/>
    <w:basedOn w:val="Normal"/>
    <w:link w:val="FootnoteTextChar"/>
    <w:uiPriority w:val="99"/>
    <w:rsid w:val="00050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DFF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styleId="FootnoteReference">
    <w:name w:val="footnote reference"/>
    <w:uiPriority w:val="99"/>
    <w:rsid w:val="00050DFF"/>
    <w:rPr>
      <w:vertAlign w:val="superscript"/>
    </w:rPr>
  </w:style>
  <w:style w:type="character" w:customStyle="1" w:styleId="apple-converted-space">
    <w:name w:val="apple-converted-space"/>
    <w:rsid w:val="00050DFF"/>
  </w:style>
  <w:style w:type="character" w:customStyle="1" w:styleId="addmd">
    <w:name w:val="addmd"/>
    <w:rsid w:val="00050DFF"/>
  </w:style>
  <w:style w:type="paragraph" w:styleId="NoSpacing">
    <w:name w:val="No Spacing"/>
    <w:link w:val="NoSpacingChar"/>
    <w:uiPriority w:val="1"/>
    <w:qFormat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paragraph" w:styleId="ListParagraph">
    <w:name w:val="List Paragraph"/>
    <w:basedOn w:val="Normal"/>
    <w:uiPriority w:val="34"/>
    <w:qFormat/>
    <w:rsid w:val="00050D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ite">
    <w:name w:val="HTML Cite"/>
    <w:uiPriority w:val="99"/>
    <w:unhideWhenUsed/>
    <w:rsid w:val="00050DFF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50DF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customStyle="1" w:styleId="EndNoteBibliographyTitleChar">
    <w:name w:val="EndNote Bibliography Title Char"/>
    <w:link w:val="EndNoteBibliographyTitle"/>
    <w:rsid w:val="00050DFF"/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customStyle="1" w:styleId="EndNoteBibliography">
    <w:name w:val="EndNote Bibliography"/>
    <w:basedOn w:val="Normal"/>
    <w:link w:val="EndNoteBibliographyChar"/>
    <w:rsid w:val="00050DF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customStyle="1" w:styleId="EndNoteBibliographyChar">
    <w:name w:val="EndNote Bibliography Char"/>
    <w:link w:val="EndNoteBibliography"/>
    <w:rsid w:val="00050DFF"/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050DF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customStyle="1" w:styleId="NoSpacingChar">
    <w:name w:val="No Spacing Char"/>
    <w:link w:val="NoSpacing"/>
    <w:uiPriority w:val="1"/>
    <w:rsid w:val="00050DF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Strong">
    <w:name w:val="Strong"/>
    <w:qFormat/>
    <w:rsid w:val="00050DFF"/>
    <w:rPr>
      <w:b/>
      <w:bCs/>
    </w:rPr>
  </w:style>
  <w:style w:type="paragraph" w:styleId="NormalWeb">
    <w:name w:val="Normal (Web)"/>
    <w:basedOn w:val="Normal"/>
    <w:uiPriority w:val="99"/>
    <w:unhideWhenUsed/>
    <w:rsid w:val="000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uiPriority w:val="19"/>
    <w:qFormat/>
    <w:rsid w:val="003536CA"/>
    <w:rPr>
      <w:i/>
      <w:iCs/>
      <w:color w:val="5A5A5A" w:themeColor="text1" w:themeTint="A5"/>
    </w:rPr>
  </w:style>
  <w:style w:type="paragraph" w:customStyle="1" w:styleId="Default">
    <w:name w:val="Default"/>
    <w:uiPriority w:val="99"/>
    <w:rsid w:val="004F1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customStyle="1" w:styleId="a">
    <w:name w:val="متن"/>
    <w:basedOn w:val="Normal"/>
    <w:link w:val="Char"/>
    <w:qFormat/>
    <w:rsid w:val="00594133"/>
    <w:pPr>
      <w:bidi/>
      <w:spacing w:after="0" w:line="240" w:lineRule="auto"/>
      <w:ind w:firstLine="397"/>
      <w:jc w:val="both"/>
    </w:pPr>
    <w:rPr>
      <w:rFonts w:ascii="Traditional Arabic" w:eastAsia="Calibri" w:hAnsi="Traditional Arabic" w:cs="Traditional Arabic"/>
      <w:sz w:val="36"/>
      <w:szCs w:val="36"/>
      <w:lang w:val="en-US"/>
    </w:rPr>
  </w:style>
  <w:style w:type="character" w:customStyle="1" w:styleId="Char">
    <w:name w:val="متن Char"/>
    <w:link w:val="a"/>
    <w:rsid w:val="00594133"/>
    <w:rPr>
      <w:rFonts w:ascii="Traditional Arabic" w:eastAsia="Calibri" w:hAnsi="Traditional Arabic" w:cs="Traditional Arabic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lid-translation">
    <w:name w:val="tlid-translation"/>
    <w:basedOn w:val="DefaultParagraphFont"/>
    <w:rsid w:val="00160182"/>
  </w:style>
  <w:style w:type="paragraph" w:styleId="Bibliography">
    <w:name w:val="Bibliography"/>
    <w:basedOn w:val="Normal"/>
    <w:next w:val="Normal"/>
    <w:uiPriority w:val="37"/>
    <w:unhideWhenUsed/>
    <w:rsid w:val="00160182"/>
  </w:style>
  <w:style w:type="character" w:customStyle="1" w:styleId="reference-text">
    <w:name w:val="reference-text"/>
    <w:basedOn w:val="DefaultParagraphFont"/>
    <w:rsid w:val="00160182"/>
  </w:style>
  <w:style w:type="character" w:styleId="CommentReference">
    <w:name w:val="annotation reference"/>
    <w:basedOn w:val="DefaultParagraphFont"/>
    <w:uiPriority w:val="99"/>
    <w:semiHidden/>
    <w:unhideWhenUsed/>
    <w:rsid w:val="00FE51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nst.com.my/news/nation/2020/03/578692%20%5b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A0328B-78F6-4CD1-BEF8-792BC7C9579D}" type="doc">
      <dgm:prSet loTypeId="urn:microsoft.com/office/officeart/2005/8/layout/vProcess5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id-ID"/>
        </a:p>
      </dgm:t>
    </dgm:pt>
    <dgm:pt modelId="{A0DDAF84-94B9-4028-AF20-2A4DBA0CBB83}">
      <dgm:prSet phldrT="[Text]" custT="1"/>
      <dgm:spPr>
        <a:xfrm>
          <a:off x="0" y="0"/>
          <a:ext cx="4389120" cy="704088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ar-SA" sz="1600" i="1">
              <a:solidFill>
                <a:sysClr val="window" lastClr="FFFFFF"/>
              </a:solidFill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حفظ المال</a:t>
          </a:r>
          <a:endParaRPr lang="id-ID" sz="1600" i="1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gm:t>
    </dgm:pt>
    <dgm:pt modelId="{14E91B3E-E2D9-4C20-B097-5E3DBDC8DD18}" type="parTrans" cxnId="{AF5BDB09-0E88-4CE0-9375-F477FFD8FA94}">
      <dgm:prSet/>
      <dgm:spPr/>
      <dgm:t>
        <a:bodyPr/>
        <a:lstStyle/>
        <a:p>
          <a:endParaRPr lang="id-ID"/>
        </a:p>
      </dgm:t>
    </dgm:pt>
    <dgm:pt modelId="{8200C39A-B1DA-473A-AF63-E333AD810618}" type="sibTrans" cxnId="{AF5BDB09-0E88-4CE0-9375-F477FFD8FA94}">
      <dgm:prSet/>
      <dgm:spPr>
        <a:xfrm>
          <a:off x="3931462" y="539267"/>
          <a:ext cx="457657" cy="457657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d-ID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F23E9F6-6716-4C97-9CFC-D77486F40AF8}">
      <dgm:prSet phldrT="[Text]" custT="1"/>
      <dgm:spPr>
        <a:xfrm>
          <a:off x="367588" y="832104"/>
          <a:ext cx="4389120" cy="704088"/>
        </a:xfrm>
        <a:solidFill>
          <a:srgbClr val="A5A5A5">
            <a:hueOff val="903533"/>
            <a:satOff val="33333"/>
            <a:lumOff val="-490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r"/>
          <a:r>
            <a:rPr lang="en-MY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بنك نيجارا ماليزيا</a:t>
          </a:r>
          <a:r>
            <a:rPr lang="ar-SA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@الحكومة الماليزية</a:t>
          </a:r>
          <a:r>
            <a:rPr lang="en-MY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 </a:t>
          </a:r>
          <a:endParaRPr lang="id-ID" sz="16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gm:t>
    </dgm:pt>
    <dgm:pt modelId="{D6C870BC-EB3A-44CB-A7F1-B90F1844B025}" type="parTrans" cxnId="{0983481E-BC79-44AD-840E-9C38C7F251EC}">
      <dgm:prSet/>
      <dgm:spPr/>
      <dgm:t>
        <a:bodyPr/>
        <a:lstStyle/>
        <a:p>
          <a:endParaRPr lang="id-ID"/>
        </a:p>
      </dgm:t>
    </dgm:pt>
    <dgm:pt modelId="{C9070CAB-6488-46A1-888B-940FF734AE97}" type="sibTrans" cxnId="{0983481E-BC79-44AD-840E-9C38C7F251EC}">
      <dgm:prSet/>
      <dgm:spPr>
        <a:xfrm>
          <a:off x="4299051" y="1371371"/>
          <a:ext cx="457657" cy="457657"/>
        </a:xfrm>
        <a:solidFill>
          <a:srgbClr val="A5A5A5">
            <a:tint val="40000"/>
            <a:alpha val="90000"/>
            <a:hueOff val="1014570"/>
            <a:satOff val="50000"/>
            <a:lumOff val="89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014570"/>
              <a:satOff val="50000"/>
              <a:lumOff val="89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d-ID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6CE258C-FEAD-4EEF-B2C5-30E467564346}">
      <dgm:prSet phldrT="[Text]" custT="1"/>
      <dgm:spPr>
        <a:xfrm>
          <a:off x="729691" y="1664208"/>
          <a:ext cx="4389120" cy="704088"/>
        </a:xfrm>
        <a:solidFill>
          <a:srgbClr val="A5A5A5">
            <a:hueOff val="1807066"/>
            <a:satOff val="66667"/>
            <a:lumOff val="-980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ar-SA" sz="1600">
              <a:solidFill>
                <a:sysClr val="window" lastClr="FFFFFF"/>
              </a:solidFill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أمر تقييد الحركة</a:t>
          </a:r>
          <a:endParaRPr lang="id-ID" sz="16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gm:t>
    </dgm:pt>
    <dgm:pt modelId="{F0CAF700-7B00-48BD-8D35-73AE31AAEA6F}" type="parTrans" cxnId="{0A694344-6C6F-401D-93AF-E372A6E88A35}">
      <dgm:prSet/>
      <dgm:spPr/>
      <dgm:t>
        <a:bodyPr/>
        <a:lstStyle/>
        <a:p>
          <a:endParaRPr lang="id-ID"/>
        </a:p>
      </dgm:t>
    </dgm:pt>
    <dgm:pt modelId="{D3987FC3-35CD-4EF0-9407-1984CF695229}" type="sibTrans" cxnId="{0A694344-6C6F-401D-93AF-E372A6E88A35}">
      <dgm:prSet/>
      <dgm:spPr>
        <a:xfrm>
          <a:off x="4661154" y="2203475"/>
          <a:ext cx="457657" cy="457657"/>
        </a:xfr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d-ID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38EEAB-95E4-4CAA-8D49-7FDB992815CE}">
      <dgm:prSet phldrT="[Text]" custT="1"/>
      <dgm:spPr>
        <a:xfrm>
          <a:off x="1097279" y="2496312"/>
          <a:ext cx="4389120" cy="704088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ar-SA" sz="1600">
              <a:solidFill>
                <a:sysClr val="window" lastClr="FFFFFF"/>
              </a:solidFill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كوفيد-19</a:t>
          </a:r>
          <a:endParaRPr lang="id-ID" sz="16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gm:t>
    </dgm:pt>
    <dgm:pt modelId="{5701F7E3-D069-43B7-ACB6-C03898EE94F0}" type="parTrans" cxnId="{CECB1FF8-D2E5-4346-A3F2-7B2230D84D77}">
      <dgm:prSet/>
      <dgm:spPr/>
      <dgm:t>
        <a:bodyPr/>
        <a:lstStyle/>
        <a:p>
          <a:endParaRPr lang="en-US"/>
        </a:p>
      </dgm:t>
    </dgm:pt>
    <dgm:pt modelId="{A29CC1CB-8E8A-4E9E-937E-BE3678879911}" type="sibTrans" cxnId="{CECB1FF8-D2E5-4346-A3F2-7B2230D84D77}">
      <dgm:prSet/>
      <dgm:spPr/>
      <dgm:t>
        <a:bodyPr/>
        <a:lstStyle/>
        <a:p>
          <a:endParaRPr lang="en-US"/>
        </a:p>
      </dgm:t>
    </dgm:pt>
    <dgm:pt modelId="{12B4CFB8-4256-4125-926D-A9D57DC349E8}" type="pres">
      <dgm:prSet presAssocID="{25A0328B-78F6-4CD1-BEF8-792BC7C9579D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B23C02-5A6A-45DA-9F3D-E65BCC5DA1D1}" type="pres">
      <dgm:prSet presAssocID="{25A0328B-78F6-4CD1-BEF8-792BC7C9579D}" presName="dummyMaxCanvas" presStyleCnt="0">
        <dgm:presLayoutVars/>
      </dgm:prSet>
      <dgm:spPr/>
    </dgm:pt>
    <dgm:pt modelId="{286FF749-F13A-4B10-AA51-634554F0FED8}" type="pres">
      <dgm:prSet presAssocID="{25A0328B-78F6-4CD1-BEF8-792BC7C9579D}" presName="FourNodes_1" presStyleLbl="node1" presStyleIdx="0" presStyleCnt="4" custScaleX="28869" custScaleY="4871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D84DDFE-45D3-4BE9-990C-E16C98A17359}" type="pres">
      <dgm:prSet presAssocID="{25A0328B-78F6-4CD1-BEF8-792BC7C9579D}" presName="FourNodes_2" presStyleLbl="node1" presStyleIdx="1" presStyleCnt="4" custScaleX="57175" custScaleY="50842" custLinFactNeighborX="-8241" custLinFactNeighborY="28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82EA94D-3F7C-4770-88C6-9C0836DC71BB}" type="pres">
      <dgm:prSet presAssocID="{25A0328B-78F6-4CD1-BEF8-792BC7C9579D}" presName="FourNodes_3" presStyleLbl="node1" presStyleIdx="2" presStyleCnt="4" custScaleX="30699" custScaleY="55602" custLinFactNeighborX="-16048" custLinFactNeighborY="561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899A054-57CE-4739-B231-59111646360D}" type="pres">
      <dgm:prSet presAssocID="{25A0328B-78F6-4CD1-BEF8-792BC7C9579D}" presName="FourNodes_4" presStyleLbl="node1" presStyleIdx="3" presStyleCnt="4" custScaleX="26528" custScaleY="52301" custLinFactNeighborX="-24940" custLinFactNeighborY="982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A87BDC6-3D23-4593-80FE-6981E0DF471E}" type="pres">
      <dgm:prSet presAssocID="{25A0328B-78F6-4CD1-BEF8-792BC7C9579D}" presName="FourConn_1-2" presStyleLbl="fgAccFollowNode1" presStyleIdx="0" presStyleCnt="3" custLinFactX="-200000" custLinFactNeighborX="-248934" custLinFactNeighborY="4317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en-US"/>
        </a:p>
      </dgm:t>
    </dgm:pt>
    <dgm:pt modelId="{FB93D19A-8BF2-4487-8B14-17EBE76EF326}" type="pres">
      <dgm:prSet presAssocID="{25A0328B-78F6-4CD1-BEF8-792BC7C9579D}" presName="FourConn_2-3" presStyleLbl="fgAccFollowNode1" presStyleIdx="1" presStyleCnt="3" custLinFactX="-230951" custLinFactNeighborX="-300000" custLinFactNeighborY="4317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en-US"/>
        </a:p>
      </dgm:t>
    </dgm:pt>
    <dgm:pt modelId="{FE9AF012-996C-4561-AC39-55DB98F6EBCA}" type="pres">
      <dgm:prSet presAssocID="{25A0328B-78F6-4CD1-BEF8-792BC7C9579D}" presName="FourConn_3-4" presStyleLbl="fgAccFollowNode1" presStyleIdx="2" presStyleCnt="3" custLinFactX="-300000" custLinFactNeighborX="-312967" custLinFactNeighborY="12950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en-US"/>
        </a:p>
      </dgm:t>
    </dgm:pt>
    <dgm:pt modelId="{283A2B93-8142-40DB-994F-3740C8CAAC8D}" type="pres">
      <dgm:prSet presAssocID="{25A0328B-78F6-4CD1-BEF8-792BC7C9579D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E19464-F77F-4DAD-BBBA-A604BF6FF16A}" type="pres">
      <dgm:prSet presAssocID="{25A0328B-78F6-4CD1-BEF8-792BC7C9579D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792114-8551-44B0-83CE-CC2BBE53FFA4}" type="pres">
      <dgm:prSet presAssocID="{25A0328B-78F6-4CD1-BEF8-792BC7C9579D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C2CC71-490A-4578-805C-0CA46118110E}" type="pres">
      <dgm:prSet presAssocID="{25A0328B-78F6-4CD1-BEF8-792BC7C9579D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4A6917C-A43D-4E9B-93B8-173682175609}" type="presOf" srcId="{4F23E9F6-6716-4C97-9CFC-D77486F40AF8}" destId="{4D84DDFE-45D3-4BE9-990C-E16C98A17359}" srcOrd="0" destOrd="0" presId="urn:microsoft.com/office/officeart/2005/8/layout/vProcess5"/>
    <dgm:cxn modelId="{5DEAB708-00BE-450F-A71A-F968775CB8F8}" type="presOf" srcId="{A0DDAF84-94B9-4028-AF20-2A4DBA0CBB83}" destId="{286FF749-F13A-4B10-AA51-634554F0FED8}" srcOrd="0" destOrd="0" presId="urn:microsoft.com/office/officeart/2005/8/layout/vProcess5"/>
    <dgm:cxn modelId="{C45F4A8C-8DEE-4352-9FE2-69FEEA710C09}" type="presOf" srcId="{56CE258C-FEAD-4EEF-B2C5-30E467564346}" destId="{29792114-8551-44B0-83CE-CC2BBE53FFA4}" srcOrd="1" destOrd="0" presId="urn:microsoft.com/office/officeart/2005/8/layout/vProcess5"/>
    <dgm:cxn modelId="{03BF56D6-007A-40BF-A6FF-BD897834351D}" type="presOf" srcId="{25A0328B-78F6-4CD1-BEF8-792BC7C9579D}" destId="{12B4CFB8-4256-4125-926D-A9D57DC349E8}" srcOrd="0" destOrd="0" presId="urn:microsoft.com/office/officeart/2005/8/layout/vProcess5"/>
    <dgm:cxn modelId="{3713A970-CAD6-48F5-B932-52C401524A7F}" type="presOf" srcId="{8200C39A-B1DA-473A-AF63-E333AD810618}" destId="{2A87BDC6-3D23-4593-80FE-6981E0DF471E}" srcOrd="0" destOrd="0" presId="urn:microsoft.com/office/officeart/2005/8/layout/vProcess5"/>
    <dgm:cxn modelId="{BB975482-8769-4290-AE4F-817C7BE367AA}" type="presOf" srcId="{56CE258C-FEAD-4EEF-B2C5-30E467564346}" destId="{782EA94D-3F7C-4770-88C6-9C0836DC71BB}" srcOrd="0" destOrd="0" presId="urn:microsoft.com/office/officeart/2005/8/layout/vProcess5"/>
    <dgm:cxn modelId="{0A694344-6C6F-401D-93AF-E372A6E88A35}" srcId="{25A0328B-78F6-4CD1-BEF8-792BC7C9579D}" destId="{56CE258C-FEAD-4EEF-B2C5-30E467564346}" srcOrd="2" destOrd="0" parTransId="{F0CAF700-7B00-48BD-8D35-73AE31AAEA6F}" sibTransId="{D3987FC3-35CD-4EF0-9407-1984CF695229}"/>
    <dgm:cxn modelId="{B48DE5EA-D4D0-492A-88D6-02EEFB29324D}" type="presOf" srcId="{D3987FC3-35CD-4EF0-9407-1984CF695229}" destId="{FE9AF012-996C-4561-AC39-55DB98F6EBCA}" srcOrd="0" destOrd="0" presId="urn:microsoft.com/office/officeart/2005/8/layout/vProcess5"/>
    <dgm:cxn modelId="{B34BDE06-FE4D-432E-81D0-6CB0E60440E8}" type="presOf" srcId="{9338EEAB-95E4-4CAA-8D49-7FDB992815CE}" destId="{74C2CC71-490A-4578-805C-0CA46118110E}" srcOrd="1" destOrd="0" presId="urn:microsoft.com/office/officeart/2005/8/layout/vProcess5"/>
    <dgm:cxn modelId="{33242491-D1F6-402B-99FC-3AC3DAD4B77B}" type="presOf" srcId="{9338EEAB-95E4-4CAA-8D49-7FDB992815CE}" destId="{E899A054-57CE-4739-B231-59111646360D}" srcOrd="0" destOrd="0" presId="urn:microsoft.com/office/officeart/2005/8/layout/vProcess5"/>
    <dgm:cxn modelId="{FEEEE742-439A-4243-854E-A4768E0D2AFA}" type="presOf" srcId="{A0DDAF84-94B9-4028-AF20-2A4DBA0CBB83}" destId="{283A2B93-8142-40DB-994F-3740C8CAAC8D}" srcOrd="1" destOrd="0" presId="urn:microsoft.com/office/officeart/2005/8/layout/vProcess5"/>
    <dgm:cxn modelId="{96FD38F8-35ED-4702-BA00-555C4B4B9601}" type="presOf" srcId="{C9070CAB-6488-46A1-888B-940FF734AE97}" destId="{FB93D19A-8BF2-4487-8B14-17EBE76EF326}" srcOrd="0" destOrd="0" presId="urn:microsoft.com/office/officeart/2005/8/layout/vProcess5"/>
    <dgm:cxn modelId="{0983481E-BC79-44AD-840E-9C38C7F251EC}" srcId="{25A0328B-78F6-4CD1-BEF8-792BC7C9579D}" destId="{4F23E9F6-6716-4C97-9CFC-D77486F40AF8}" srcOrd="1" destOrd="0" parTransId="{D6C870BC-EB3A-44CB-A7F1-B90F1844B025}" sibTransId="{C9070CAB-6488-46A1-888B-940FF734AE97}"/>
    <dgm:cxn modelId="{CECB1FF8-D2E5-4346-A3F2-7B2230D84D77}" srcId="{25A0328B-78F6-4CD1-BEF8-792BC7C9579D}" destId="{9338EEAB-95E4-4CAA-8D49-7FDB992815CE}" srcOrd="3" destOrd="0" parTransId="{5701F7E3-D069-43B7-ACB6-C03898EE94F0}" sibTransId="{A29CC1CB-8E8A-4E9E-937E-BE3678879911}"/>
    <dgm:cxn modelId="{2EA01DD3-6E20-4FC2-9EDB-9E524F031539}" type="presOf" srcId="{4F23E9F6-6716-4C97-9CFC-D77486F40AF8}" destId="{C3E19464-F77F-4DAD-BBBA-A604BF6FF16A}" srcOrd="1" destOrd="0" presId="urn:microsoft.com/office/officeart/2005/8/layout/vProcess5"/>
    <dgm:cxn modelId="{AF5BDB09-0E88-4CE0-9375-F477FFD8FA94}" srcId="{25A0328B-78F6-4CD1-BEF8-792BC7C9579D}" destId="{A0DDAF84-94B9-4028-AF20-2A4DBA0CBB83}" srcOrd="0" destOrd="0" parTransId="{14E91B3E-E2D9-4C20-B097-5E3DBDC8DD18}" sibTransId="{8200C39A-B1DA-473A-AF63-E333AD810618}"/>
    <dgm:cxn modelId="{9BD1596F-5712-409C-AEA2-7E14A6C31757}" type="presParOf" srcId="{12B4CFB8-4256-4125-926D-A9D57DC349E8}" destId="{F4B23C02-5A6A-45DA-9F3D-E65BCC5DA1D1}" srcOrd="0" destOrd="0" presId="urn:microsoft.com/office/officeart/2005/8/layout/vProcess5"/>
    <dgm:cxn modelId="{46D3215F-8B7E-437F-B75B-EFA1032643EA}" type="presParOf" srcId="{12B4CFB8-4256-4125-926D-A9D57DC349E8}" destId="{286FF749-F13A-4B10-AA51-634554F0FED8}" srcOrd="1" destOrd="0" presId="urn:microsoft.com/office/officeart/2005/8/layout/vProcess5"/>
    <dgm:cxn modelId="{6E05157A-D060-4091-BE0A-DC1CB30DF6E5}" type="presParOf" srcId="{12B4CFB8-4256-4125-926D-A9D57DC349E8}" destId="{4D84DDFE-45D3-4BE9-990C-E16C98A17359}" srcOrd="2" destOrd="0" presId="urn:microsoft.com/office/officeart/2005/8/layout/vProcess5"/>
    <dgm:cxn modelId="{AFF4FC21-1E1C-4860-9994-7D2C5CB45336}" type="presParOf" srcId="{12B4CFB8-4256-4125-926D-A9D57DC349E8}" destId="{782EA94D-3F7C-4770-88C6-9C0836DC71BB}" srcOrd="3" destOrd="0" presId="urn:microsoft.com/office/officeart/2005/8/layout/vProcess5"/>
    <dgm:cxn modelId="{DDFBDA69-5C10-4BFB-9139-F29ACDC495B1}" type="presParOf" srcId="{12B4CFB8-4256-4125-926D-A9D57DC349E8}" destId="{E899A054-57CE-4739-B231-59111646360D}" srcOrd="4" destOrd="0" presId="urn:microsoft.com/office/officeart/2005/8/layout/vProcess5"/>
    <dgm:cxn modelId="{6AF196FB-6571-440D-B330-661D1C07BE69}" type="presParOf" srcId="{12B4CFB8-4256-4125-926D-A9D57DC349E8}" destId="{2A87BDC6-3D23-4593-80FE-6981E0DF471E}" srcOrd="5" destOrd="0" presId="urn:microsoft.com/office/officeart/2005/8/layout/vProcess5"/>
    <dgm:cxn modelId="{E633FA50-8024-4621-8FDA-C1C1A98DA4AD}" type="presParOf" srcId="{12B4CFB8-4256-4125-926D-A9D57DC349E8}" destId="{FB93D19A-8BF2-4487-8B14-17EBE76EF326}" srcOrd="6" destOrd="0" presId="urn:microsoft.com/office/officeart/2005/8/layout/vProcess5"/>
    <dgm:cxn modelId="{2F9835FC-478F-4438-8853-D2198C1FFC3A}" type="presParOf" srcId="{12B4CFB8-4256-4125-926D-A9D57DC349E8}" destId="{FE9AF012-996C-4561-AC39-55DB98F6EBCA}" srcOrd="7" destOrd="0" presId="urn:microsoft.com/office/officeart/2005/8/layout/vProcess5"/>
    <dgm:cxn modelId="{FED9912F-F3CB-4ACE-B7E6-71F1BA95F5CD}" type="presParOf" srcId="{12B4CFB8-4256-4125-926D-A9D57DC349E8}" destId="{283A2B93-8142-40DB-994F-3740C8CAAC8D}" srcOrd="8" destOrd="0" presId="urn:microsoft.com/office/officeart/2005/8/layout/vProcess5"/>
    <dgm:cxn modelId="{0C405881-B825-4B04-BD7F-3DF7B5B32B6B}" type="presParOf" srcId="{12B4CFB8-4256-4125-926D-A9D57DC349E8}" destId="{C3E19464-F77F-4DAD-BBBA-A604BF6FF16A}" srcOrd="9" destOrd="0" presId="urn:microsoft.com/office/officeart/2005/8/layout/vProcess5"/>
    <dgm:cxn modelId="{F117ADC0-9236-4E80-9646-BF364FB71762}" type="presParOf" srcId="{12B4CFB8-4256-4125-926D-A9D57DC349E8}" destId="{29792114-8551-44B0-83CE-CC2BBE53FFA4}" srcOrd="10" destOrd="0" presId="urn:microsoft.com/office/officeart/2005/8/layout/vProcess5"/>
    <dgm:cxn modelId="{C07D0289-2DBF-47E2-8DD9-00666A7F9B93}" type="presParOf" srcId="{12B4CFB8-4256-4125-926D-A9D57DC349E8}" destId="{74C2CC71-490A-4578-805C-0CA46118110E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6FF749-F13A-4B10-AA51-634554F0FED8}">
      <dsp:nvSpPr>
        <dsp:cNvPr id="0" name=""/>
        <dsp:cNvSpPr/>
      </dsp:nvSpPr>
      <dsp:spPr>
        <a:xfrm>
          <a:off x="1562096" y="174114"/>
          <a:ext cx="1267974" cy="330712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i="1" kern="1200">
              <a:solidFill>
                <a:sysClr val="window" lastClr="FFFFFF"/>
              </a:solidFill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حفظ المال</a:t>
          </a:r>
          <a:endParaRPr lang="id-ID" sz="1600" i="1" kern="12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sp:txBody>
      <dsp:txXfrm>
        <a:off x="1571782" y="183800"/>
        <a:ext cx="1032018" cy="311340"/>
      </dsp:txXfrm>
    </dsp:sp>
    <dsp:sp modelId="{4D84DDFE-45D3-4BE9-990C-E16C98A17359}">
      <dsp:nvSpPr>
        <dsp:cNvPr id="0" name=""/>
        <dsp:cNvSpPr/>
      </dsp:nvSpPr>
      <dsp:spPr>
        <a:xfrm>
          <a:off x="946358" y="988314"/>
          <a:ext cx="2511222" cy="345187"/>
        </a:xfrm>
        <a:prstGeom prst="roundRect">
          <a:avLst>
            <a:gd name="adj" fmla="val 10000"/>
          </a:avLst>
        </a:prstGeom>
        <a:solidFill>
          <a:srgbClr val="A5A5A5">
            <a:hueOff val="903533"/>
            <a:satOff val="33333"/>
            <a:lumOff val="-490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1600" kern="1200">
              <a:latin typeface="Traditional Arabic" panose="02020603050405020304" pitchFamily="18" charset="-78"/>
              <a:cs typeface="Traditional Arabic" panose="02020603050405020304" pitchFamily="18" charset="-78"/>
            </a:rPr>
            <a:t>بنك نيجارا ماليزيا</a:t>
          </a:r>
          <a:r>
            <a:rPr lang="ar-SA" sz="1600" kern="1200">
              <a:latin typeface="Traditional Arabic" panose="02020603050405020304" pitchFamily="18" charset="-78"/>
              <a:cs typeface="Traditional Arabic" panose="02020603050405020304" pitchFamily="18" charset="-78"/>
            </a:rPr>
            <a:t>@الحكومة الماليزية</a:t>
          </a:r>
          <a:r>
            <a:rPr lang="en-MY" sz="1600" kern="1200">
              <a:latin typeface="Traditional Arabic" panose="02020603050405020304" pitchFamily="18" charset="-78"/>
              <a:cs typeface="Traditional Arabic" panose="02020603050405020304" pitchFamily="18" charset="-78"/>
            </a:rPr>
            <a:t> </a:t>
          </a:r>
          <a:endParaRPr lang="id-ID" sz="1600" kern="12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sp:txBody>
      <dsp:txXfrm>
        <a:off x="956468" y="998424"/>
        <a:ext cx="2028366" cy="324967"/>
      </dsp:txXfrm>
    </dsp:sp>
    <dsp:sp modelId="{782EA94D-3F7C-4770-88C6-9C0836DC71BB}">
      <dsp:nvSpPr>
        <dsp:cNvPr id="0" name=""/>
        <dsp:cNvSpPr/>
      </dsp:nvSpPr>
      <dsp:spPr>
        <a:xfrm>
          <a:off x="1547250" y="1793592"/>
          <a:ext cx="1348351" cy="377505"/>
        </a:xfrm>
        <a:prstGeom prst="roundRect">
          <a:avLst>
            <a:gd name="adj" fmla="val 10000"/>
          </a:avLst>
        </a:prstGeom>
        <a:solidFill>
          <a:srgbClr val="A5A5A5">
            <a:hueOff val="1807066"/>
            <a:satOff val="66667"/>
            <a:lumOff val="-980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solidFill>
                <a:sysClr val="window" lastClr="FFFFFF"/>
              </a:solidFill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أمر تقييد الحركة</a:t>
          </a:r>
          <a:endParaRPr lang="id-ID" sz="1600" kern="12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sp:txBody>
      <dsp:txXfrm>
        <a:off x="1558307" y="1804649"/>
        <a:ext cx="1079520" cy="355391"/>
      </dsp:txXfrm>
    </dsp:sp>
    <dsp:sp modelId="{E899A054-57CE-4739-B231-59111646360D}">
      <dsp:nvSpPr>
        <dsp:cNvPr id="0" name=""/>
        <dsp:cNvSpPr/>
      </dsp:nvSpPr>
      <dsp:spPr>
        <a:xfrm>
          <a:off x="1616142" y="2635761"/>
          <a:ext cx="1165154" cy="355093"/>
        </a:xfrm>
        <a:prstGeom prst="roundRect">
          <a:avLst>
            <a:gd name="adj" fmla="val 10000"/>
          </a:avLst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solidFill>
                <a:sysClr val="window" lastClr="FFFFFF"/>
              </a:solidFill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كوفيد-19</a:t>
          </a:r>
          <a:endParaRPr lang="id-ID" sz="1600" kern="1200">
            <a:solidFill>
              <a:sysClr val="window" lastClr="FFFFFF"/>
            </a:solidFill>
            <a:latin typeface="Traditional Arabic" panose="02020603050405020304" pitchFamily="18" charset="-78"/>
            <a:ea typeface="+mn-ea"/>
            <a:cs typeface="Traditional Arabic" panose="02020603050405020304" pitchFamily="18" charset="-78"/>
          </a:endParaRPr>
        </a:p>
      </dsp:txBody>
      <dsp:txXfrm>
        <a:off x="1626542" y="2646161"/>
        <a:ext cx="929701" cy="334293"/>
      </dsp:txXfrm>
    </dsp:sp>
    <dsp:sp modelId="{2A87BDC6-3D23-4593-80FE-6981E0DF471E}">
      <dsp:nvSpPr>
        <dsp:cNvPr id="0" name=""/>
        <dsp:cNvSpPr/>
      </dsp:nvSpPr>
      <dsp:spPr>
        <a:xfrm>
          <a:off x="1969654" y="539059"/>
          <a:ext cx="441312" cy="441312"/>
        </a:xfrm>
        <a:prstGeom prst="downArrow">
          <a:avLst>
            <a:gd name="adj1" fmla="val 55000"/>
            <a:gd name="adj2" fmla="val 45000"/>
          </a:avLst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68949" y="539059"/>
        <a:ext cx="242722" cy="332087"/>
      </dsp:txXfrm>
    </dsp:sp>
    <dsp:sp modelId="{FB93D19A-8BF2-4487-8B14-17EBE76EF326}">
      <dsp:nvSpPr>
        <dsp:cNvPr id="0" name=""/>
        <dsp:cNvSpPr/>
      </dsp:nvSpPr>
      <dsp:spPr>
        <a:xfrm>
          <a:off x="1975547" y="1341445"/>
          <a:ext cx="441312" cy="441312"/>
        </a:xfrm>
        <a:prstGeom prst="downArrow">
          <a:avLst>
            <a:gd name="adj1" fmla="val 55000"/>
            <a:gd name="adj2" fmla="val 45000"/>
          </a:avLst>
        </a:prstGeom>
        <a:solidFill>
          <a:srgbClr val="A5A5A5">
            <a:tint val="40000"/>
            <a:alpha val="90000"/>
            <a:hueOff val="1014570"/>
            <a:satOff val="50000"/>
            <a:lumOff val="89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014570"/>
              <a:satOff val="50000"/>
              <a:lumOff val="89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4842" y="1341445"/>
        <a:ext cx="242722" cy="332087"/>
      </dsp:txXfrm>
    </dsp:sp>
    <dsp:sp modelId="{FE9AF012-996C-4561-AC39-55DB98F6EBCA}">
      <dsp:nvSpPr>
        <dsp:cNvPr id="0" name=""/>
        <dsp:cNvSpPr/>
      </dsp:nvSpPr>
      <dsp:spPr>
        <a:xfrm>
          <a:off x="1975954" y="2181929"/>
          <a:ext cx="441312" cy="441312"/>
        </a:xfrm>
        <a:prstGeom prst="downArrow">
          <a:avLst>
            <a:gd name="adj1" fmla="val 55000"/>
            <a:gd name="adj2" fmla="val 45000"/>
          </a:avLst>
        </a:prstGeo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5249" y="2181929"/>
        <a:ext cx="242722" cy="332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infad-pc</dc:creator>
  <cp:keywords/>
  <dc:description/>
  <cp:lastModifiedBy>ASUS</cp:lastModifiedBy>
  <cp:revision>10</cp:revision>
  <dcterms:created xsi:type="dcterms:W3CDTF">2022-11-02T04:28:00Z</dcterms:created>
  <dcterms:modified xsi:type="dcterms:W3CDTF">2023-02-04T02:06:00Z</dcterms:modified>
</cp:coreProperties>
</file>