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E4D" w:rsidRDefault="00746C66" w:rsidP="00746C66">
      <w:pPr>
        <w:jc w:val="center"/>
        <w:rPr>
          <w:rFonts w:asciiTheme="majorBidi" w:hAnsiTheme="majorBidi" w:cstheme="majorBidi"/>
          <w:b/>
          <w:bCs/>
          <w:lang w:val="en-GB"/>
        </w:rPr>
      </w:pPr>
      <w:r w:rsidRPr="00746C66">
        <w:rPr>
          <w:rFonts w:asciiTheme="majorBidi" w:hAnsiTheme="majorBidi" w:cstheme="majorBidi"/>
          <w:b/>
          <w:bCs/>
          <w:color w:val="FF0000"/>
          <w:szCs w:val="32"/>
          <w:lang w:val="en"/>
        </w:rPr>
        <w:t xml:space="preserve">[Font: Times New Roman, </w:t>
      </w:r>
      <w:r>
        <w:rPr>
          <w:rFonts w:asciiTheme="majorBidi" w:hAnsiTheme="majorBidi" w:cstheme="majorBidi"/>
          <w:b/>
          <w:bCs/>
          <w:color w:val="FF0000"/>
          <w:szCs w:val="32"/>
          <w:lang w:val="en"/>
        </w:rPr>
        <w:t>capital</w:t>
      </w:r>
      <w:r w:rsidRPr="00746C66">
        <w:rPr>
          <w:rFonts w:asciiTheme="majorBidi" w:hAnsiTheme="majorBidi" w:cstheme="majorBidi"/>
          <w:b/>
          <w:bCs/>
          <w:color w:val="FF0000"/>
          <w:szCs w:val="32"/>
          <w:lang w:val="en"/>
        </w:rPr>
        <w:t xml:space="preserve">, </w:t>
      </w:r>
      <w:r w:rsidR="003E118F">
        <w:rPr>
          <w:rFonts w:asciiTheme="majorBidi" w:hAnsiTheme="majorBidi" w:cstheme="majorBidi"/>
          <w:b/>
          <w:bCs/>
          <w:color w:val="FF0000"/>
          <w:szCs w:val="32"/>
          <w:lang w:val="en"/>
        </w:rPr>
        <w:t xml:space="preserve">bold, </w:t>
      </w:r>
      <w:r w:rsidRPr="00746C66">
        <w:rPr>
          <w:rFonts w:asciiTheme="majorBidi" w:hAnsiTheme="majorBidi" w:cstheme="majorBidi"/>
          <w:b/>
          <w:bCs/>
          <w:color w:val="FF0000"/>
          <w:szCs w:val="32"/>
          <w:lang w:val="en"/>
        </w:rPr>
        <w:t>11]</w:t>
      </w:r>
      <w:r>
        <w:rPr>
          <w:rFonts w:asciiTheme="majorBidi" w:hAnsiTheme="majorBidi" w:cstheme="majorBidi"/>
          <w:b/>
          <w:bCs/>
          <w:color w:val="FF0000"/>
          <w:szCs w:val="32"/>
          <w:lang w:val="en"/>
        </w:rPr>
        <w:t xml:space="preserve"> </w:t>
      </w:r>
      <w:r w:rsidR="00866ACF" w:rsidRPr="005A79FF">
        <w:rPr>
          <w:rFonts w:asciiTheme="majorBidi" w:hAnsiTheme="majorBidi" w:cstheme="majorBidi"/>
          <w:b/>
          <w:bCs/>
          <w:lang w:val="en-GB"/>
        </w:rPr>
        <w:t>TEACHING AND LEARNING OF PROCEDURAL LAW COURSES: AN OVERVIEW OF THE BEST PRACTICE IN MALAYSIA</w:t>
      </w:r>
    </w:p>
    <w:p w:rsidR="00CF3E4D" w:rsidRDefault="00746C66" w:rsidP="00F61C56">
      <w:pPr>
        <w:spacing w:after="0" w:line="240" w:lineRule="auto"/>
        <w:jc w:val="center"/>
        <w:rPr>
          <w:rFonts w:asciiTheme="majorBidi" w:hAnsiTheme="majorBidi" w:cstheme="majorBidi"/>
          <w:sz w:val="18"/>
          <w:szCs w:val="18"/>
          <w:lang w:val="en-GB"/>
        </w:rPr>
      </w:pPr>
      <w:r w:rsidRPr="00746C66">
        <w:rPr>
          <w:rFonts w:asciiTheme="majorBidi" w:hAnsiTheme="majorBidi" w:cstheme="majorBidi"/>
          <w:color w:val="FF0000"/>
          <w:sz w:val="18"/>
          <w:szCs w:val="18"/>
          <w:lang w:val="en"/>
        </w:rPr>
        <w:t>[Font: Times New Roman, 9]</w:t>
      </w:r>
      <w:r>
        <w:rPr>
          <w:rFonts w:asciiTheme="majorBidi" w:hAnsiTheme="majorBidi" w:cstheme="majorBidi"/>
          <w:color w:val="FF0000"/>
          <w:szCs w:val="32"/>
          <w:lang w:val="en"/>
        </w:rPr>
        <w:t xml:space="preserve"> </w:t>
      </w:r>
      <w:proofErr w:type="spellStart"/>
      <w:r w:rsidR="00CF3E4D" w:rsidRPr="00CF3E4D">
        <w:rPr>
          <w:rFonts w:asciiTheme="majorBidi" w:hAnsiTheme="majorBidi" w:cstheme="majorBidi"/>
          <w:sz w:val="18"/>
          <w:szCs w:val="18"/>
          <w:vertAlign w:val="superscript"/>
          <w:lang w:val="en-GB"/>
        </w:rPr>
        <w:t>i</w:t>
      </w:r>
      <w:proofErr w:type="spellEnd"/>
      <w:r w:rsidR="00CF3E4D">
        <w:rPr>
          <w:rFonts w:asciiTheme="majorBidi" w:hAnsiTheme="majorBidi" w:cstheme="majorBidi"/>
          <w:sz w:val="18"/>
          <w:szCs w:val="18"/>
          <w:vertAlign w:val="superscript"/>
          <w:lang w:val="en-GB"/>
        </w:rPr>
        <w:t>*</w:t>
      </w:r>
      <w:r w:rsidR="00F61C56" w:rsidRPr="00F61C56">
        <w:rPr>
          <w:rFonts w:asciiTheme="majorBidi" w:hAnsiTheme="majorBidi" w:cstheme="majorBidi"/>
          <w:sz w:val="18"/>
          <w:szCs w:val="18"/>
          <w:vertAlign w:val="superscript"/>
          <w:lang w:val="en-GB"/>
        </w:rPr>
        <w:t xml:space="preserve"> </w:t>
      </w:r>
      <w:proofErr w:type="spellStart"/>
      <w:r w:rsidR="00F61C56" w:rsidRPr="00CF3E4D">
        <w:rPr>
          <w:rFonts w:asciiTheme="majorBidi" w:hAnsiTheme="majorBidi" w:cstheme="majorBidi"/>
          <w:sz w:val="18"/>
          <w:szCs w:val="18"/>
          <w:lang w:val="en-GB"/>
        </w:rPr>
        <w:t>Intan</w:t>
      </w:r>
      <w:proofErr w:type="spellEnd"/>
      <w:r w:rsidR="00F61C56" w:rsidRPr="00CF3E4D">
        <w:rPr>
          <w:rFonts w:asciiTheme="majorBidi" w:hAnsiTheme="majorBidi" w:cstheme="majorBidi"/>
          <w:sz w:val="18"/>
          <w:szCs w:val="18"/>
          <w:lang w:val="en-GB"/>
        </w:rPr>
        <w:t xml:space="preserve"> </w:t>
      </w:r>
      <w:proofErr w:type="spellStart"/>
      <w:r w:rsidR="00F61C56" w:rsidRPr="00CF3E4D">
        <w:rPr>
          <w:rFonts w:asciiTheme="majorBidi" w:hAnsiTheme="majorBidi" w:cstheme="majorBidi"/>
          <w:sz w:val="18"/>
          <w:szCs w:val="18"/>
          <w:lang w:val="en-GB"/>
        </w:rPr>
        <w:t>Shafinaz</w:t>
      </w:r>
      <w:proofErr w:type="spellEnd"/>
      <w:r w:rsidR="00F61C56" w:rsidRPr="00CF3E4D">
        <w:rPr>
          <w:rFonts w:asciiTheme="majorBidi" w:hAnsiTheme="majorBidi" w:cstheme="majorBidi"/>
          <w:sz w:val="18"/>
          <w:szCs w:val="18"/>
          <w:lang w:val="en-GB"/>
        </w:rPr>
        <w:t xml:space="preserve"> </w:t>
      </w:r>
      <w:proofErr w:type="spellStart"/>
      <w:r w:rsidR="00F61C56" w:rsidRPr="00CF3E4D">
        <w:rPr>
          <w:rFonts w:asciiTheme="majorBidi" w:hAnsiTheme="majorBidi" w:cstheme="majorBidi"/>
          <w:sz w:val="18"/>
          <w:szCs w:val="18"/>
          <w:lang w:val="en-GB"/>
        </w:rPr>
        <w:t>Mohammadi</w:t>
      </w:r>
      <w:proofErr w:type="spellEnd"/>
      <w:r w:rsidR="00CF3E4D">
        <w:rPr>
          <w:rFonts w:asciiTheme="majorBidi" w:hAnsiTheme="majorBidi" w:cstheme="majorBidi"/>
          <w:sz w:val="18"/>
          <w:szCs w:val="18"/>
          <w:lang w:val="en-GB"/>
        </w:rPr>
        <w:t xml:space="preserve">, </w:t>
      </w:r>
      <w:proofErr w:type="spellStart"/>
      <w:r w:rsidR="00CF3E4D" w:rsidRPr="00CF3E4D">
        <w:rPr>
          <w:rFonts w:asciiTheme="majorBidi" w:hAnsiTheme="majorBidi" w:cstheme="majorBidi"/>
          <w:sz w:val="18"/>
          <w:szCs w:val="18"/>
          <w:vertAlign w:val="superscript"/>
          <w:lang w:val="en-GB"/>
        </w:rPr>
        <w:t>i</w:t>
      </w:r>
      <w:r w:rsidR="00F61C56">
        <w:rPr>
          <w:rFonts w:asciiTheme="majorBidi" w:hAnsiTheme="majorBidi" w:cstheme="majorBidi"/>
          <w:sz w:val="18"/>
          <w:szCs w:val="18"/>
          <w:vertAlign w:val="superscript"/>
          <w:lang w:val="en-GB"/>
        </w:rPr>
        <w:t>i</w:t>
      </w:r>
      <w:r w:rsidR="00CF3E4D" w:rsidRPr="00CF3E4D">
        <w:rPr>
          <w:rFonts w:asciiTheme="majorBidi" w:hAnsiTheme="majorBidi" w:cstheme="majorBidi"/>
          <w:sz w:val="18"/>
          <w:szCs w:val="18"/>
          <w:lang w:val="en-GB"/>
        </w:rPr>
        <w:t>Arif</w:t>
      </w:r>
      <w:proofErr w:type="spellEnd"/>
      <w:r w:rsidR="00CF3E4D" w:rsidRPr="00CF3E4D">
        <w:rPr>
          <w:rFonts w:asciiTheme="majorBidi" w:hAnsiTheme="majorBidi" w:cstheme="majorBidi"/>
          <w:sz w:val="18"/>
          <w:szCs w:val="18"/>
          <w:lang w:val="en-GB"/>
        </w:rPr>
        <w:t xml:space="preserve"> </w:t>
      </w:r>
      <w:proofErr w:type="spellStart"/>
      <w:r w:rsidR="00CF3E4D" w:rsidRPr="00CF3E4D">
        <w:rPr>
          <w:rFonts w:asciiTheme="majorBidi" w:hAnsiTheme="majorBidi" w:cstheme="majorBidi"/>
          <w:sz w:val="18"/>
          <w:szCs w:val="18"/>
          <w:lang w:val="en-GB"/>
        </w:rPr>
        <w:t>Fahmi</w:t>
      </w:r>
      <w:proofErr w:type="spellEnd"/>
      <w:r w:rsidR="00CF3E4D" w:rsidRPr="00CF3E4D">
        <w:rPr>
          <w:rFonts w:asciiTheme="majorBidi" w:hAnsiTheme="majorBidi" w:cstheme="majorBidi"/>
          <w:sz w:val="18"/>
          <w:szCs w:val="18"/>
          <w:lang w:val="en-GB"/>
        </w:rPr>
        <w:t xml:space="preserve"> </w:t>
      </w:r>
      <w:proofErr w:type="spellStart"/>
      <w:r w:rsidR="00CF3E4D" w:rsidRPr="00CF3E4D">
        <w:rPr>
          <w:rFonts w:asciiTheme="majorBidi" w:hAnsiTheme="majorBidi" w:cstheme="majorBidi"/>
          <w:sz w:val="18"/>
          <w:szCs w:val="18"/>
          <w:lang w:val="en-GB"/>
        </w:rPr>
        <w:t>Md</w:t>
      </w:r>
      <w:proofErr w:type="spellEnd"/>
      <w:r w:rsidR="00CF3E4D" w:rsidRPr="00CF3E4D">
        <w:rPr>
          <w:rFonts w:asciiTheme="majorBidi" w:hAnsiTheme="majorBidi" w:cstheme="majorBidi"/>
          <w:sz w:val="18"/>
          <w:szCs w:val="18"/>
          <w:lang w:val="en-GB"/>
        </w:rPr>
        <w:t xml:space="preserve"> </w:t>
      </w:r>
      <w:proofErr w:type="spellStart"/>
      <w:r w:rsidR="00CF3E4D" w:rsidRPr="00CF3E4D">
        <w:rPr>
          <w:rFonts w:asciiTheme="majorBidi" w:hAnsiTheme="majorBidi" w:cstheme="majorBidi"/>
          <w:sz w:val="18"/>
          <w:szCs w:val="18"/>
          <w:lang w:val="en-GB"/>
        </w:rPr>
        <w:t>Yusof</w:t>
      </w:r>
      <w:proofErr w:type="spellEnd"/>
      <w:r w:rsidR="00CF3E4D">
        <w:rPr>
          <w:rFonts w:asciiTheme="majorBidi" w:hAnsiTheme="majorBidi" w:cstheme="majorBidi"/>
          <w:sz w:val="18"/>
          <w:szCs w:val="18"/>
          <w:lang w:val="en-GB"/>
        </w:rPr>
        <w:t xml:space="preserve">, </w:t>
      </w:r>
      <w:proofErr w:type="spellStart"/>
      <w:r w:rsidR="00CF3E4D" w:rsidRPr="00CF3E4D">
        <w:rPr>
          <w:rFonts w:asciiTheme="majorBidi" w:hAnsiTheme="majorBidi" w:cstheme="majorBidi"/>
          <w:sz w:val="18"/>
          <w:szCs w:val="18"/>
          <w:vertAlign w:val="superscript"/>
          <w:lang w:val="en-GB"/>
        </w:rPr>
        <w:t>i</w:t>
      </w:r>
      <w:r w:rsidR="00F61C56">
        <w:rPr>
          <w:rFonts w:asciiTheme="majorBidi" w:hAnsiTheme="majorBidi" w:cstheme="majorBidi"/>
          <w:sz w:val="18"/>
          <w:szCs w:val="18"/>
          <w:vertAlign w:val="superscript"/>
          <w:lang w:val="en-GB"/>
        </w:rPr>
        <w:t>ii</w:t>
      </w:r>
      <w:r w:rsidR="00CF3E4D" w:rsidRPr="00CF3E4D">
        <w:rPr>
          <w:rFonts w:asciiTheme="majorBidi" w:hAnsiTheme="majorBidi" w:cstheme="majorBidi"/>
          <w:sz w:val="18"/>
          <w:szCs w:val="18"/>
          <w:lang w:val="en-GB"/>
        </w:rPr>
        <w:t>Norfadhilah</w:t>
      </w:r>
      <w:proofErr w:type="spellEnd"/>
      <w:r w:rsidR="00CF3E4D" w:rsidRPr="00CF3E4D">
        <w:rPr>
          <w:rFonts w:asciiTheme="majorBidi" w:hAnsiTheme="majorBidi" w:cstheme="majorBidi"/>
          <w:sz w:val="18"/>
          <w:szCs w:val="18"/>
          <w:lang w:val="en-GB"/>
        </w:rPr>
        <w:t xml:space="preserve"> Mohamad Ali</w:t>
      </w:r>
      <w:r w:rsidR="00CF3E4D">
        <w:rPr>
          <w:rFonts w:asciiTheme="majorBidi" w:hAnsiTheme="majorBidi" w:cstheme="majorBidi"/>
          <w:sz w:val="18"/>
          <w:szCs w:val="18"/>
          <w:lang w:val="en-GB"/>
        </w:rPr>
        <w:t xml:space="preserve">, </w:t>
      </w:r>
      <w:proofErr w:type="spellStart"/>
      <w:r w:rsidR="00F61C56" w:rsidRPr="00F61C56">
        <w:rPr>
          <w:rFonts w:asciiTheme="majorBidi" w:hAnsiTheme="majorBidi" w:cstheme="majorBidi"/>
          <w:sz w:val="18"/>
          <w:szCs w:val="18"/>
          <w:vertAlign w:val="superscript"/>
          <w:lang w:val="en-GB"/>
        </w:rPr>
        <w:t>iv</w:t>
      </w:r>
      <w:r w:rsidR="00F61C56" w:rsidRPr="00CF3E4D">
        <w:rPr>
          <w:rFonts w:asciiTheme="majorBidi" w:hAnsiTheme="majorBidi" w:cstheme="majorBidi"/>
          <w:sz w:val="18"/>
          <w:szCs w:val="18"/>
          <w:lang w:val="en-GB"/>
        </w:rPr>
        <w:t>Izawati</w:t>
      </w:r>
      <w:proofErr w:type="spellEnd"/>
      <w:r w:rsidR="00F61C56" w:rsidRPr="00CF3E4D">
        <w:rPr>
          <w:rFonts w:asciiTheme="majorBidi" w:hAnsiTheme="majorBidi" w:cstheme="majorBidi"/>
          <w:sz w:val="18"/>
          <w:szCs w:val="18"/>
          <w:lang w:val="en-GB"/>
        </w:rPr>
        <w:t xml:space="preserve"> </w:t>
      </w:r>
      <w:bookmarkStart w:id="0" w:name="_GoBack"/>
      <w:bookmarkEnd w:id="0"/>
      <w:proofErr w:type="spellStart"/>
      <w:r w:rsidR="00F61C56" w:rsidRPr="00CF3E4D">
        <w:rPr>
          <w:rFonts w:asciiTheme="majorBidi" w:hAnsiTheme="majorBidi" w:cstheme="majorBidi"/>
          <w:sz w:val="18"/>
          <w:szCs w:val="18"/>
          <w:lang w:val="en-GB"/>
        </w:rPr>
        <w:t>Wook</w:t>
      </w:r>
      <w:proofErr w:type="spellEnd"/>
    </w:p>
    <w:p w:rsidR="00CF3E4D" w:rsidRPr="00746C66" w:rsidRDefault="00CF3E4D" w:rsidP="00CF3E4D">
      <w:pPr>
        <w:spacing w:after="0" w:line="240" w:lineRule="auto"/>
        <w:jc w:val="center"/>
        <w:rPr>
          <w:rFonts w:asciiTheme="majorBidi" w:hAnsiTheme="majorBidi" w:cstheme="majorBidi"/>
          <w:sz w:val="18"/>
          <w:szCs w:val="18"/>
          <w:lang w:val="en-GB"/>
        </w:rPr>
      </w:pPr>
    </w:p>
    <w:p w:rsidR="00CF3E4D" w:rsidRDefault="00746C66" w:rsidP="00CF3E4D">
      <w:pPr>
        <w:spacing w:after="0" w:line="240" w:lineRule="auto"/>
        <w:jc w:val="center"/>
        <w:rPr>
          <w:rFonts w:asciiTheme="majorBidi" w:hAnsiTheme="majorBidi" w:cstheme="majorBidi"/>
          <w:sz w:val="18"/>
          <w:szCs w:val="18"/>
          <w:lang w:val="en-GB"/>
        </w:rPr>
      </w:pPr>
      <w:bookmarkStart w:id="1" w:name="_Hlk8369709"/>
      <w:r w:rsidRPr="00746C66">
        <w:rPr>
          <w:rFonts w:asciiTheme="majorBidi" w:hAnsiTheme="majorBidi" w:cstheme="majorBidi"/>
          <w:color w:val="FF0000"/>
          <w:sz w:val="18"/>
          <w:szCs w:val="18"/>
          <w:lang w:val="en"/>
        </w:rPr>
        <w:t>[Font: Times New Roman, 9]</w:t>
      </w:r>
      <w:r>
        <w:rPr>
          <w:rFonts w:asciiTheme="majorBidi" w:hAnsiTheme="majorBidi" w:cstheme="majorBidi"/>
          <w:color w:val="FF0000"/>
          <w:szCs w:val="32"/>
          <w:lang w:val="en"/>
        </w:rPr>
        <w:t xml:space="preserve"> </w:t>
      </w:r>
      <w:bookmarkEnd w:id="1"/>
      <w:r w:rsidR="00CF3E4D" w:rsidRPr="00CF3E4D">
        <w:rPr>
          <w:rFonts w:asciiTheme="majorBidi" w:hAnsiTheme="majorBidi" w:cstheme="majorBidi"/>
          <w:sz w:val="18"/>
          <w:szCs w:val="18"/>
          <w:lang w:val="en-GB"/>
        </w:rPr>
        <w:t xml:space="preserve">Faculty of </w:t>
      </w:r>
      <w:proofErr w:type="spellStart"/>
      <w:r w:rsidR="00CF3E4D" w:rsidRPr="00CF3E4D">
        <w:rPr>
          <w:rFonts w:asciiTheme="majorBidi" w:hAnsiTheme="majorBidi" w:cstheme="majorBidi"/>
          <w:sz w:val="18"/>
          <w:szCs w:val="18"/>
          <w:lang w:val="en-GB"/>
        </w:rPr>
        <w:t>Syariah</w:t>
      </w:r>
      <w:proofErr w:type="spellEnd"/>
      <w:r w:rsidR="00CF3E4D" w:rsidRPr="00CF3E4D">
        <w:rPr>
          <w:rFonts w:asciiTheme="majorBidi" w:hAnsiTheme="majorBidi" w:cstheme="majorBidi"/>
          <w:sz w:val="18"/>
          <w:szCs w:val="18"/>
          <w:lang w:val="en-GB"/>
        </w:rPr>
        <w:t xml:space="preserve"> and Law, </w:t>
      </w:r>
      <w:proofErr w:type="spellStart"/>
      <w:r w:rsidR="00CF3E4D" w:rsidRPr="00CF3E4D">
        <w:rPr>
          <w:rFonts w:asciiTheme="majorBidi" w:hAnsiTheme="majorBidi" w:cstheme="majorBidi"/>
          <w:sz w:val="18"/>
          <w:szCs w:val="18"/>
          <w:lang w:val="en-GB"/>
        </w:rPr>
        <w:t>U</w:t>
      </w:r>
      <w:r w:rsidR="00CF3E4D">
        <w:rPr>
          <w:rFonts w:asciiTheme="majorBidi" w:hAnsiTheme="majorBidi" w:cstheme="majorBidi"/>
          <w:sz w:val="18"/>
          <w:szCs w:val="18"/>
          <w:lang w:val="en-GB"/>
        </w:rPr>
        <w:t>niversiti</w:t>
      </w:r>
      <w:proofErr w:type="spellEnd"/>
      <w:r w:rsidR="00CF3E4D">
        <w:rPr>
          <w:rFonts w:asciiTheme="majorBidi" w:hAnsiTheme="majorBidi" w:cstheme="majorBidi"/>
          <w:sz w:val="18"/>
          <w:szCs w:val="18"/>
          <w:lang w:val="en-GB"/>
        </w:rPr>
        <w:t xml:space="preserve"> </w:t>
      </w:r>
      <w:proofErr w:type="spellStart"/>
      <w:r w:rsidR="00CF3E4D">
        <w:rPr>
          <w:rFonts w:asciiTheme="majorBidi" w:hAnsiTheme="majorBidi" w:cstheme="majorBidi"/>
          <w:sz w:val="18"/>
          <w:szCs w:val="18"/>
          <w:lang w:val="en-GB"/>
        </w:rPr>
        <w:t>Sains</w:t>
      </w:r>
      <w:proofErr w:type="spellEnd"/>
      <w:r w:rsidR="00CF3E4D">
        <w:rPr>
          <w:rFonts w:asciiTheme="majorBidi" w:hAnsiTheme="majorBidi" w:cstheme="majorBidi"/>
          <w:sz w:val="18"/>
          <w:szCs w:val="18"/>
          <w:lang w:val="en-GB"/>
        </w:rPr>
        <w:t xml:space="preserve"> Islam Malaysia, </w:t>
      </w:r>
      <w:proofErr w:type="spellStart"/>
      <w:r w:rsidR="00CF3E4D">
        <w:rPr>
          <w:rFonts w:asciiTheme="majorBidi" w:hAnsiTheme="majorBidi" w:cstheme="majorBidi"/>
          <w:sz w:val="18"/>
          <w:szCs w:val="18"/>
          <w:lang w:val="en-GB"/>
        </w:rPr>
        <w:t>Nilai</w:t>
      </w:r>
      <w:proofErr w:type="spellEnd"/>
    </w:p>
    <w:p w:rsidR="00CF3E4D" w:rsidRDefault="00CF3E4D" w:rsidP="00CF3E4D">
      <w:pPr>
        <w:spacing w:after="0" w:line="240" w:lineRule="auto"/>
        <w:jc w:val="center"/>
        <w:rPr>
          <w:rFonts w:asciiTheme="majorBidi" w:hAnsiTheme="majorBidi" w:cstheme="majorBidi"/>
          <w:sz w:val="18"/>
          <w:szCs w:val="18"/>
          <w:lang w:val="en-GB"/>
        </w:rPr>
      </w:pPr>
    </w:p>
    <w:p w:rsidR="00CF3E4D" w:rsidRPr="00CF3E4D" w:rsidRDefault="00746C66" w:rsidP="00CF3E4D">
      <w:pPr>
        <w:spacing w:after="0" w:line="240" w:lineRule="auto"/>
        <w:jc w:val="center"/>
        <w:rPr>
          <w:rFonts w:asciiTheme="majorBidi" w:hAnsiTheme="majorBidi" w:cstheme="majorBidi"/>
          <w:sz w:val="18"/>
          <w:szCs w:val="18"/>
          <w:lang w:val="en-GB"/>
        </w:rPr>
      </w:pPr>
      <w:r w:rsidRPr="00746C66">
        <w:rPr>
          <w:rFonts w:asciiTheme="majorBidi" w:hAnsiTheme="majorBidi" w:cstheme="majorBidi"/>
          <w:color w:val="FF0000"/>
          <w:sz w:val="18"/>
          <w:szCs w:val="18"/>
          <w:lang w:val="en"/>
        </w:rPr>
        <w:t>[Font: Times New Roman, 9]</w:t>
      </w:r>
      <w:r>
        <w:rPr>
          <w:rFonts w:asciiTheme="majorBidi" w:hAnsiTheme="majorBidi" w:cstheme="majorBidi"/>
          <w:color w:val="FF0000"/>
          <w:szCs w:val="32"/>
          <w:lang w:val="en"/>
        </w:rPr>
        <w:t xml:space="preserve"> </w:t>
      </w:r>
      <w:r w:rsidR="00CF3E4D">
        <w:rPr>
          <w:rFonts w:asciiTheme="majorBidi" w:hAnsiTheme="majorBidi" w:cstheme="majorBidi"/>
          <w:sz w:val="18"/>
          <w:szCs w:val="18"/>
          <w:lang w:val="en-GB"/>
        </w:rPr>
        <w:t xml:space="preserve">*(Corresponding author) email: </w:t>
      </w:r>
      <w:hyperlink r:id="rId7" w:history="1">
        <w:r w:rsidR="00CF3E4D" w:rsidRPr="00CF3E4D">
          <w:rPr>
            <w:rStyle w:val="Hyperlink"/>
            <w:rFonts w:asciiTheme="majorBidi" w:hAnsiTheme="majorBidi" w:cstheme="majorBidi"/>
            <w:sz w:val="18"/>
            <w:szCs w:val="18"/>
          </w:rPr>
          <w:t>izawati@usim.edu.my</w:t>
        </w:r>
      </w:hyperlink>
    </w:p>
    <w:p w:rsidR="00CF3E4D" w:rsidRPr="005A79FF" w:rsidRDefault="00CF3E4D" w:rsidP="00CF3E4D">
      <w:pPr>
        <w:spacing w:line="240" w:lineRule="auto"/>
        <w:jc w:val="center"/>
        <w:rPr>
          <w:rFonts w:asciiTheme="majorBidi" w:hAnsiTheme="majorBidi" w:cstheme="majorBidi"/>
          <w:b/>
          <w:bCs/>
          <w:lang w:val="en-GB"/>
        </w:rPr>
      </w:pPr>
    </w:p>
    <w:p w:rsidR="00CF3E4D" w:rsidRPr="00CF3E4D" w:rsidRDefault="00746C66" w:rsidP="00CF3E4D">
      <w:pPr>
        <w:spacing w:line="240" w:lineRule="auto"/>
        <w:jc w:val="center"/>
        <w:rPr>
          <w:rFonts w:asciiTheme="majorBidi" w:hAnsiTheme="majorBidi" w:cstheme="majorBidi"/>
          <w:b/>
          <w:bCs/>
          <w:lang w:val="en-GB"/>
        </w:rPr>
      </w:pPr>
      <w:bookmarkStart w:id="2" w:name="_Hlk8369733"/>
      <w:r w:rsidRPr="00746C66">
        <w:rPr>
          <w:rFonts w:asciiTheme="majorBidi" w:hAnsiTheme="majorBidi" w:cstheme="majorBidi"/>
          <w:b/>
          <w:bCs/>
          <w:color w:val="FF0000"/>
          <w:lang w:val="en"/>
        </w:rPr>
        <w:t>[Font: Times New Roman, capital,</w:t>
      </w:r>
      <w:r w:rsidR="007E495E">
        <w:rPr>
          <w:rFonts w:asciiTheme="majorBidi" w:hAnsiTheme="majorBidi" w:cstheme="majorBidi"/>
          <w:b/>
          <w:bCs/>
          <w:color w:val="FF0000"/>
          <w:lang w:val="en"/>
        </w:rPr>
        <w:t xml:space="preserve"> bold,</w:t>
      </w:r>
      <w:r w:rsidRPr="00746C66">
        <w:rPr>
          <w:rFonts w:asciiTheme="majorBidi" w:hAnsiTheme="majorBidi" w:cstheme="majorBidi"/>
          <w:b/>
          <w:bCs/>
          <w:color w:val="FF0000"/>
          <w:lang w:val="en"/>
        </w:rPr>
        <w:t xml:space="preserve"> 11]</w:t>
      </w:r>
      <w:r w:rsidRPr="00746C66">
        <w:rPr>
          <w:rFonts w:asciiTheme="majorBidi" w:hAnsiTheme="majorBidi" w:cstheme="majorBidi"/>
          <w:color w:val="FF0000"/>
          <w:sz w:val="26"/>
          <w:szCs w:val="36"/>
          <w:lang w:val="en"/>
        </w:rPr>
        <w:t xml:space="preserve"> </w:t>
      </w:r>
      <w:bookmarkEnd w:id="2"/>
      <w:r w:rsidR="00CF3E4D" w:rsidRPr="00CF3E4D">
        <w:rPr>
          <w:rFonts w:asciiTheme="majorBidi" w:hAnsiTheme="majorBidi" w:cstheme="majorBidi"/>
          <w:b/>
          <w:bCs/>
          <w:lang w:val="en-GB"/>
        </w:rPr>
        <w:t>ABSTRACT</w:t>
      </w:r>
    </w:p>
    <w:p w:rsidR="00746C66" w:rsidRDefault="00746C66" w:rsidP="00CF3E4D">
      <w:pPr>
        <w:spacing w:line="240" w:lineRule="auto"/>
        <w:jc w:val="both"/>
        <w:rPr>
          <w:rFonts w:asciiTheme="majorBidi" w:hAnsiTheme="majorBidi" w:cstheme="majorBidi"/>
          <w:lang w:val="en-GB"/>
        </w:rPr>
      </w:pPr>
      <w:bookmarkStart w:id="3" w:name="_Hlk8369745"/>
      <w:r w:rsidRPr="00746C66">
        <w:rPr>
          <w:rFonts w:asciiTheme="majorBidi" w:hAnsiTheme="majorBidi" w:cstheme="majorBidi"/>
          <w:color w:val="FF0000"/>
          <w:lang w:val="en"/>
        </w:rPr>
        <w:t>[Font: Times New Roman, 11</w:t>
      </w:r>
      <w:r w:rsidRPr="00746C66">
        <w:rPr>
          <w:rFonts w:asciiTheme="majorBidi" w:hAnsiTheme="majorBidi" w:cstheme="majorBidi"/>
          <w:color w:val="FF0000"/>
          <w:sz w:val="18"/>
          <w:szCs w:val="18"/>
          <w:lang w:val="en"/>
        </w:rPr>
        <w:t>]</w:t>
      </w:r>
      <w:r>
        <w:rPr>
          <w:rFonts w:asciiTheme="majorBidi" w:hAnsiTheme="majorBidi" w:cstheme="majorBidi"/>
          <w:color w:val="FF0000"/>
          <w:szCs w:val="32"/>
          <w:lang w:val="en"/>
        </w:rPr>
        <w:t xml:space="preserve"> </w:t>
      </w:r>
      <w:bookmarkEnd w:id="3"/>
      <w:r w:rsidR="00CF3E4D" w:rsidRPr="005A79FF">
        <w:rPr>
          <w:rFonts w:asciiTheme="majorBidi" w:hAnsiTheme="majorBidi" w:cstheme="majorBidi"/>
          <w:lang w:val="en-GB"/>
        </w:rPr>
        <w:t xml:space="preserve">Procedural law courses are important components in legal education in all law schools in Malaysia. The courses include Civil Procedure, Criminal Procedure, Evidence as well as a more specific courses such as Bankruptcy and Winding-up. </w:t>
      </w:r>
      <w:r w:rsidR="00CF3E4D" w:rsidRPr="005A79FF">
        <w:rPr>
          <w:rFonts w:asciiTheme="majorBidi" w:eastAsia="Times New Roman" w:hAnsiTheme="majorBidi" w:cstheme="majorBidi"/>
          <w:lang w:val="en-GB"/>
        </w:rPr>
        <w:t xml:space="preserve">These are taught as compulsory courses in upper years in which students have already completed substantive areas of law. </w:t>
      </w:r>
      <w:r w:rsidR="00CF3E4D" w:rsidRPr="005A79FF">
        <w:rPr>
          <w:rFonts w:asciiTheme="majorBidi" w:hAnsiTheme="majorBidi" w:cstheme="majorBidi"/>
          <w:lang w:val="en-GB"/>
        </w:rPr>
        <w:t xml:space="preserve">In law schools that include Syariah law (Islamic law) as part of their curriculum, Syariah procedural courses both for criminal and civil proceedings are also taught. Similar to many other professional courses, teaching and learning professional skills require special approach different from traditional approach of lecture and </w:t>
      </w:r>
      <w:r>
        <w:rPr>
          <w:rFonts w:asciiTheme="majorBidi" w:hAnsiTheme="majorBidi" w:cstheme="majorBidi"/>
          <w:lang w:val="en-GB"/>
        </w:rPr>
        <w:t>…</w:t>
      </w:r>
    </w:p>
    <w:p w:rsidR="00746C66" w:rsidRPr="00FB186B" w:rsidRDefault="00746C66" w:rsidP="00746C66">
      <w:pPr>
        <w:spacing w:after="0" w:line="240" w:lineRule="auto"/>
        <w:rPr>
          <w:rFonts w:asciiTheme="majorBidi" w:hAnsiTheme="majorBidi" w:cstheme="majorBidi"/>
          <w:i/>
          <w:iCs/>
          <w:lang w:val="ms-MY"/>
        </w:rPr>
      </w:pPr>
      <w:bookmarkStart w:id="4" w:name="_Hlk8369777"/>
      <w:r w:rsidRPr="003E118F">
        <w:rPr>
          <w:rFonts w:asciiTheme="majorBidi" w:hAnsiTheme="majorBidi" w:cstheme="majorBidi"/>
          <w:i/>
          <w:iCs/>
          <w:color w:val="FF0000"/>
          <w:lang w:val="en"/>
        </w:rPr>
        <w:t>[Font: Times New Roman, Italic, 11</w:t>
      </w:r>
      <w:r w:rsidRPr="003E118F">
        <w:rPr>
          <w:rFonts w:asciiTheme="majorBidi" w:hAnsiTheme="majorBidi" w:cstheme="majorBidi"/>
          <w:i/>
          <w:iCs/>
          <w:color w:val="FF0000"/>
          <w:sz w:val="18"/>
          <w:szCs w:val="18"/>
          <w:lang w:val="en"/>
        </w:rPr>
        <w:t>]</w:t>
      </w:r>
      <w:bookmarkEnd w:id="4"/>
      <w:r>
        <w:rPr>
          <w:rFonts w:asciiTheme="majorBidi" w:hAnsiTheme="majorBidi" w:cstheme="majorBidi"/>
          <w:color w:val="FF0000"/>
          <w:szCs w:val="32"/>
          <w:lang w:val="en"/>
        </w:rPr>
        <w:t xml:space="preserve"> </w:t>
      </w:r>
      <w:r>
        <w:rPr>
          <w:rFonts w:asciiTheme="majorBidi" w:hAnsiTheme="majorBidi" w:cstheme="majorBidi"/>
          <w:b/>
          <w:bCs/>
          <w:i/>
          <w:iCs/>
          <w:lang w:val="ms-MY"/>
        </w:rPr>
        <w:t>Keywords</w:t>
      </w:r>
      <w:r w:rsidRPr="00FB186B">
        <w:rPr>
          <w:rFonts w:asciiTheme="majorBidi" w:hAnsiTheme="majorBidi" w:cstheme="majorBidi"/>
          <w:b/>
          <w:bCs/>
          <w:i/>
          <w:iCs/>
          <w:lang w:val="ms-MY"/>
        </w:rPr>
        <w:t>:</w:t>
      </w:r>
      <w:r w:rsidRPr="00FB186B">
        <w:rPr>
          <w:rFonts w:asciiTheme="majorBidi" w:hAnsiTheme="majorBidi" w:cstheme="majorBidi"/>
          <w:i/>
          <w:iCs/>
          <w:lang w:val="ms-MY"/>
        </w:rPr>
        <w:t xml:space="preserve"> </w:t>
      </w:r>
      <w:r>
        <w:rPr>
          <w:rFonts w:asciiTheme="majorBidi" w:hAnsiTheme="majorBidi" w:cstheme="majorBidi"/>
          <w:i/>
          <w:iCs/>
          <w:lang w:val="ms-MY"/>
        </w:rPr>
        <w:t>Procedural</w:t>
      </w:r>
      <w:r w:rsidRPr="00FB186B">
        <w:rPr>
          <w:rFonts w:asciiTheme="majorBidi" w:hAnsiTheme="majorBidi" w:cstheme="majorBidi"/>
          <w:i/>
          <w:iCs/>
          <w:lang w:val="ms-MY"/>
        </w:rPr>
        <w:t>,</w:t>
      </w:r>
      <w:r>
        <w:rPr>
          <w:rFonts w:asciiTheme="majorBidi" w:hAnsiTheme="majorBidi" w:cstheme="majorBidi"/>
          <w:i/>
          <w:iCs/>
          <w:lang w:val="ms-MY"/>
        </w:rPr>
        <w:t xml:space="preserve"> law courses, practice, malaysia</w:t>
      </w:r>
    </w:p>
    <w:p w:rsidR="00CF3E4D" w:rsidRPr="00746C66" w:rsidRDefault="00CF3E4D" w:rsidP="00CF3E4D">
      <w:pPr>
        <w:jc w:val="both"/>
        <w:rPr>
          <w:rFonts w:asciiTheme="majorBidi" w:hAnsiTheme="majorBidi" w:cstheme="majorBidi"/>
          <w:lang w:val="ms-MY"/>
        </w:rPr>
      </w:pPr>
    </w:p>
    <w:p w:rsidR="00CF3E4D" w:rsidRPr="005A79FF" w:rsidRDefault="00746C66" w:rsidP="00CF3E4D">
      <w:pPr>
        <w:pStyle w:val="Heading1"/>
        <w:jc w:val="both"/>
        <w:rPr>
          <w:rFonts w:asciiTheme="majorBidi" w:hAnsiTheme="majorBidi" w:cstheme="majorBidi"/>
          <w:sz w:val="22"/>
          <w:szCs w:val="22"/>
        </w:rPr>
      </w:pPr>
      <w:bookmarkStart w:id="5" w:name="_Hlk8369858"/>
      <w:r w:rsidRPr="00746C66">
        <w:rPr>
          <w:rFonts w:asciiTheme="majorBidi" w:hAnsiTheme="majorBidi" w:cstheme="majorBidi"/>
          <w:color w:val="FF0000"/>
          <w:sz w:val="22"/>
          <w:szCs w:val="22"/>
          <w:lang w:val="en"/>
        </w:rPr>
        <w:t>[Font: Times New Roman, bold, 11]</w:t>
      </w:r>
      <w:r w:rsidRPr="00746C66">
        <w:rPr>
          <w:rFonts w:asciiTheme="majorBidi" w:hAnsiTheme="majorBidi" w:cstheme="majorBidi"/>
          <w:color w:val="FF0000"/>
          <w:sz w:val="24"/>
          <w:szCs w:val="24"/>
          <w:lang w:val="en"/>
        </w:rPr>
        <w:t xml:space="preserve"> </w:t>
      </w:r>
      <w:bookmarkEnd w:id="5"/>
      <w:r w:rsidR="00CF3E4D" w:rsidRPr="005A79FF">
        <w:rPr>
          <w:rFonts w:asciiTheme="majorBidi" w:hAnsiTheme="majorBidi" w:cstheme="majorBidi"/>
          <w:sz w:val="22"/>
          <w:szCs w:val="22"/>
        </w:rPr>
        <w:t>Introduction</w:t>
      </w:r>
    </w:p>
    <w:p w:rsidR="00CF3E4D" w:rsidRPr="005A79FF" w:rsidRDefault="00746C66" w:rsidP="00CF3E4D">
      <w:pPr>
        <w:spacing w:line="240" w:lineRule="auto"/>
        <w:jc w:val="both"/>
        <w:rPr>
          <w:rFonts w:asciiTheme="majorBidi" w:hAnsiTheme="majorBidi" w:cstheme="majorBidi"/>
        </w:rPr>
      </w:pPr>
      <w:r w:rsidRPr="00746C66">
        <w:rPr>
          <w:rFonts w:asciiTheme="majorBidi" w:hAnsiTheme="majorBidi" w:cstheme="majorBidi"/>
          <w:color w:val="FF0000"/>
          <w:lang w:val="en"/>
        </w:rPr>
        <w:t>[Font: Times New Roman,</w:t>
      </w:r>
      <w:r>
        <w:rPr>
          <w:rFonts w:asciiTheme="majorBidi" w:hAnsiTheme="majorBidi" w:cstheme="majorBidi"/>
          <w:color w:val="FF0000"/>
          <w:lang w:val="en"/>
        </w:rPr>
        <w:t xml:space="preserve"> </w:t>
      </w:r>
      <w:r w:rsidRPr="00746C66">
        <w:rPr>
          <w:rFonts w:asciiTheme="majorBidi" w:hAnsiTheme="majorBidi" w:cstheme="majorBidi"/>
          <w:color w:val="FF0000"/>
          <w:lang w:val="en"/>
        </w:rPr>
        <w:t>11</w:t>
      </w:r>
      <w:r w:rsidRPr="00746C66">
        <w:rPr>
          <w:rFonts w:asciiTheme="majorBidi" w:hAnsiTheme="majorBidi" w:cstheme="majorBidi"/>
          <w:color w:val="FF0000"/>
          <w:sz w:val="18"/>
          <w:szCs w:val="18"/>
          <w:lang w:val="en"/>
        </w:rPr>
        <w:t>]</w:t>
      </w:r>
      <w:r>
        <w:rPr>
          <w:rFonts w:asciiTheme="majorBidi" w:hAnsiTheme="majorBidi" w:cstheme="majorBidi"/>
          <w:color w:val="FF0000"/>
          <w:sz w:val="18"/>
          <w:szCs w:val="18"/>
          <w:lang w:val="en"/>
        </w:rPr>
        <w:t xml:space="preserve"> </w:t>
      </w:r>
      <w:r w:rsidR="00CF3E4D" w:rsidRPr="005A79FF">
        <w:rPr>
          <w:rFonts w:asciiTheme="majorBidi" w:hAnsiTheme="majorBidi" w:cstheme="majorBidi"/>
        </w:rPr>
        <w:t xml:space="preserve">With the increasing number of law graduates in the market, the expectation from prospective employers is much higher compared to previous decades. The law schools are now challenged to conform to the ‘new reality’, that is to meet the demand of the market for ‘practice </w:t>
      </w:r>
      <w:r>
        <w:rPr>
          <w:rFonts w:asciiTheme="majorBidi" w:hAnsiTheme="majorBidi" w:cstheme="majorBidi"/>
        </w:rPr>
        <w:t>…</w:t>
      </w:r>
      <w:r w:rsidR="00CF3E4D" w:rsidRPr="005A79FF">
        <w:rPr>
          <w:rFonts w:asciiTheme="majorBidi" w:hAnsiTheme="majorBidi" w:cstheme="majorBidi"/>
          <w:lang w:val="en-GB"/>
        </w:rPr>
        <w:t xml:space="preserve">professionals. </w:t>
      </w:r>
      <w:r w:rsidR="00CF3E4D" w:rsidRPr="005A79FF">
        <w:rPr>
          <w:rFonts w:asciiTheme="majorBidi" w:hAnsiTheme="majorBidi" w:cstheme="majorBidi"/>
        </w:rPr>
        <w:t xml:space="preserve">In other words, the contemporary development in legal education sees the trend that law schools needs and can do more to prepare students for practice </w:t>
      </w:r>
      <w:r w:rsidR="00CF3E4D" w:rsidRPr="005A79FF">
        <w:rPr>
          <w:rFonts w:asciiTheme="majorBidi" w:hAnsiTheme="majorBidi" w:cstheme="majorBidi"/>
          <w:noProof/>
        </w:rPr>
        <w:t>(Fliyd, Griffin, and Sneddon 2011)</w:t>
      </w:r>
      <w:r w:rsidR="00CF3E4D" w:rsidRPr="005A79FF">
        <w:rPr>
          <w:rFonts w:asciiTheme="majorBidi" w:hAnsiTheme="majorBidi" w:cstheme="majorBidi"/>
        </w:rPr>
        <w:t>.</w:t>
      </w:r>
    </w:p>
    <w:p w:rsidR="00CF3E4D" w:rsidRPr="005A79FF" w:rsidRDefault="00CF3E4D" w:rsidP="00CF3E4D">
      <w:pPr>
        <w:spacing w:line="240" w:lineRule="auto"/>
        <w:jc w:val="both"/>
        <w:rPr>
          <w:rFonts w:asciiTheme="majorBidi" w:hAnsiTheme="majorBidi" w:cstheme="majorBidi"/>
          <w:lang w:val="en-GB"/>
        </w:rPr>
      </w:pPr>
      <w:r w:rsidRPr="005A79FF">
        <w:rPr>
          <w:rFonts w:asciiTheme="majorBidi" w:hAnsiTheme="majorBidi" w:cstheme="majorBidi"/>
          <w:lang w:val="en-GB"/>
        </w:rPr>
        <w:t xml:space="preserve">A common critic is that local law graduates are in need of improvement in legal skills. Law school programs are often criticised as too academic, too theoretical and not practical enough to prepare students for legal practice </w:t>
      </w:r>
      <w:r w:rsidRPr="005A79FF">
        <w:rPr>
          <w:rFonts w:asciiTheme="majorBidi" w:hAnsiTheme="majorBidi" w:cstheme="majorBidi"/>
          <w:noProof/>
          <w:lang w:val="en-GB"/>
        </w:rPr>
        <w:t>(Nor et al. 2011)</w:t>
      </w:r>
      <w:r w:rsidRPr="005A79FF">
        <w:rPr>
          <w:rFonts w:asciiTheme="majorBidi" w:hAnsiTheme="majorBidi" w:cstheme="majorBidi"/>
          <w:lang w:val="en-GB"/>
        </w:rPr>
        <w:t>. In the same token, a recent study on the directions of legal</w:t>
      </w:r>
      <w:proofErr w:type="gramStart"/>
      <w:r w:rsidRPr="005A79FF">
        <w:rPr>
          <w:rFonts w:asciiTheme="majorBidi" w:hAnsiTheme="majorBidi" w:cstheme="majorBidi"/>
          <w:lang w:val="en-GB"/>
        </w:rPr>
        <w:t xml:space="preserve"> </w:t>
      </w:r>
      <w:r w:rsidR="007E495E">
        <w:rPr>
          <w:rFonts w:asciiTheme="majorBidi" w:hAnsiTheme="majorBidi" w:cstheme="majorBidi"/>
          <w:lang w:val="en-GB"/>
        </w:rPr>
        <w:t>..</w:t>
      </w:r>
      <w:proofErr w:type="gramEnd"/>
      <w:r w:rsidRPr="005A79FF">
        <w:rPr>
          <w:rFonts w:asciiTheme="majorBidi" w:hAnsiTheme="majorBidi" w:cstheme="majorBidi"/>
          <w:lang w:val="en-GB"/>
        </w:rPr>
        <w:t xml:space="preserve"> lacking among the law students are thinking across different areas of law; arguing positions orally, mediating disputes and creative thinking in finding legal solutions </w:t>
      </w:r>
      <w:r w:rsidRPr="005A79FF">
        <w:rPr>
          <w:rFonts w:asciiTheme="majorBidi" w:hAnsiTheme="majorBidi" w:cstheme="majorBidi"/>
          <w:noProof/>
          <w:lang w:val="en-GB"/>
        </w:rPr>
        <w:t>(Kementerian Pengajian Malaysia 2013)</w:t>
      </w:r>
      <w:r w:rsidRPr="005A79FF">
        <w:rPr>
          <w:rFonts w:asciiTheme="majorBidi" w:hAnsiTheme="majorBidi" w:cstheme="majorBidi"/>
          <w:lang w:val="en-GB"/>
        </w:rPr>
        <w:t xml:space="preserve">. From law practitioners’ perspective, </w:t>
      </w:r>
      <w:r w:rsidR="00746C66">
        <w:rPr>
          <w:rFonts w:asciiTheme="majorBidi" w:hAnsiTheme="majorBidi" w:cstheme="majorBidi"/>
          <w:lang w:val="en-GB"/>
        </w:rPr>
        <w:t>….</w:t>
      </w:r>
    </w:p>
    <w:p w:rsidR="00CF3E4D" w:rsidRPr="005A79FF" w:rsidRDefault="00CF3E4D" w:rsidP="00CF3E4D">
      <w:pPr>
        <w:pStyle w:val="Heading1"/>
        <w:jc w:val="both"/>
        <w:rPr>
          <w:rFonts w:asciiTheme="majorBidi" w:hAnsiTheme="majorBidi" w:cstheme="majorBidi"/>
          <w:sz w:val="22"/>
          <w:szCs w:val="22"/>
        </w:rPr>
      </w:pPr>
      <w:r w:rsidRPr="005A79FF">
        <w:rPr>
          <w:rFonts w:asciiTheme="majorBidi" w:hAnsiTheme="majorBidi" w:cstheme="majorBidi"/>
          <w:sz w:val="22"/>
          <w:szCs w:val="22"/>
        </w:rPr>
        <w:t>Conclusion</w:t>
      </w:r>
    </w:p>
    <w:p w:rsidR="00CF3E4D" w:rsidRPr="005A79FF" w:rsidRDefault="00CF3E4D" w:rsidP="00CF3E4D">
      <w:pPr>
        <w:spacing w:line="240" w:lineRule="auto"/>
        <w:jc w:val="both"/>
        <w:rPr>
          <w:rFonts w:asciiTheme="majorBidi" w:hAnsiTheme="majorBidi" w:cstheme="majorBidi"/>
          <w:lang w:val="en-GB"/>
        </w:rPr>
      </w:pPr>
      <w:r w:rsidRPr="005A79FF">
        <w:rPr>
          <w:rFonts w:asciiTheme="majorBidi" w:eastAsia="Times New Roman" w:hAnsiTheme="majorBidi" w:cstheme="majorBidi"/>
          <w:lang w:val="en-GB"/>
        </w:rPr>
        <w:t xml:space="preserve">As discussed above, the emphasis for the development of the essential skills for law graduates requires a well-planned teaching methodologies. The broad array of pedagogical approaches which integrate </w:t>
      </w:r>
      <w:r w:rsidRPr="005A79FF">
        <w:rPr>
          <w:rFonts w:asciiTheme="majorBidi" w:hAnsiTheme="majorBidi" w:cstheme="majorBidi"/>
          <w:lang w:val="en-GB"/>
        </w:rPr>
        <w:t>the teaching and learning theory, doctrinal and practical aspects of law with context-based instruction using simulated cases, teamwork and various other activities will enhance the prospect of producing the law graduates that meet the contemporary challenges</w:t>
      </w:r>
      <w:r w:rsidRPr="005A79FF">
        <w:rPr>
          <w:rFonts w:asciiTheme="majorBidi" w:eastAsia="Times New Roman" w:hAnsiTheme="majorBidi" w:cstheme="majorBidi"/>
          <w:lang w:val="en-GB"/>
        </w:rPr>
        <w:t>. Other aspects such as collaboration with law practitioners as well as the greater use of legal clinic will facilitates the students’ retention and learning experience.</w:t>
      </w:r>
    </w:p>
    <w:p w:rsidR="007E495E" w:rsidRDefault="007E495E" w:rsidP="00072B9C">
      <w:pPr>
        <w:spacing w:line="240" w:lineRule="auto"/>
        <w:jc w:val="both"/>
        <w:rPr>
          <w:rFonts w:asciiTheme="majorBidi" w:hAnsiTheme="majorBidi" w:cstheme="majorBidi"/>
          <w:b/>
          <w:bCs/>
          <w:lang w:val="en-GB"/>
        </w:rPr>
      </w:pPr>
    </w:p>
    <w:p w:rsidR="007E495E" w:rsidRDefault="007E495E" w:rsidP="00072B9C">
      <w:pPr>
        <w:spacing w:line="240" w:lineRule="auto"/>
        <w:jc w:val="both"/>
        <w:rPr>
          <w:rFonts w:asciiTheme="majorBidi" w:hAnsiTheme="majorBidi" w:cstheme="majorBidi"/>
          <w:b/>
          <w:bCs/>
          <w:lang w:val="en-GB"/>
        </w:rPr>
      </w:pPr>
    </w:p>
    <w:p w:rsidR="007E495E" w:rsidRDefault="007E495E" w:rsidP="00072B9C">
      <w:pPr>
        <w:spacing w:line="240" w:lineRule="auto"/>
        <w:jc w:val="both"/>
        <w:rPr>
          <w:rFonts w:asciiTheme="majorBidi" w:hAnsiTheme="majorBidi" w:cstheme="majorBidi"/>
          <w:b/>
          <w:bCs/>
          <w:lang w:val="en-GB"/>
        </w:rPr>
      </w:pPr>
    </w:p>
    <w:p w:rsidR="00BA0B61" w:rsidRDefault="007E495E" w:rsidP="00072B9C">
      <w:pPr>
        <w:spacing w:line="240" w:lineRule="auto"/>
        <w:jc w:val="both"/>
        <w:rPr>
          <w:rFonts w:asciiTheme="majorBidi" w:hAnsiTheme="majorBidi" w:cstheme="majorBidi"/>
          <w:lang w:val="en-GB"/>
        </w:rPr>
      </w:pPr>
      <w:bookmarkStart w:id="6" w:name="_Hlk8369924"/>
      <w:r w:rsidRPr="00746C66">
        <w:rPr>
          <w:rFonts w:asciiTheme="majorBidi" w:hAnsiTheme="majorBidi" w:cstheme="majorBidi"/>
          <w:b/>
          <w:bCs/>
          <w:color w:val="FF0000"/>
          <w:lang w:val="en"/>
        </w:rPr>
        <w:lastRenderedPageBreak/>
        <w:t>[Font: Times New Roman, capital,</w:t>
      </w:r>
      <w:r>
        <w:rPr>
          <w:rFonts w:asciiTheme="majorBidi" w:hAnsiTheme="majorBidi" w:cstheme="majorBidi"/>
          <w:b/>
          <w:bCs/>
          <w:color w:val="FF0000"/>
          <w:lang w:val="en"/>
        </w:rPr>
        <w:t xml:space="preserve"> bold,</w:t>
      </w:r>
      <w:r w:rsidRPr="00746C66">
        <w:rPr>
          <w:rFonts w:asciiTheme="majorBidi" w:hAnsiTheme="majorBidi" w:cstheme="majorBidi"/>
          <w:b/>
          <w:bCs/>
          <w:color w:val="FF0000"/>
          <w:lang w:val="en"/>
        </w:rPr>
        <w:t xml:space="preserve"> 11]</w:t>
      </w:r>
      <w:r w:rsidRPr="00746C66">
        <w:rPr>
          <w:rFonts w:asciiTheme="majorBidi" w:hAnsiTheme="majorBidi" w:cstheme="majorBidi"/>
          <w:color w:val="FF0000"/>
          <w:sz w:val="26"/>
          <w:szCs w:val="36"/>
          <w:lang w:val="en"/>
        </w:rPr>
        <w:t xml:space="preserve"> </w:t>
      </w:r>
      <w:bookmarkEnd w:id="6"/>
      <w:r w:rsidR="00072B9C" w:rsidRPr="00072B9C">
        <w:rPr>
          <w:rFonts w:asciiTheme="majorBidi" w:hAnsiTheme="majorBidi" w:cstheme="majorBidi"/>
          <w:b/>
          <w:bCs/>
          <w:lang w:val="en-GB"/>
        </w:rPr>
        <w:t>REFERENCES:</w:t>
      </w:r>
      <w:r w:rsidR="00CF3E4D" w:rsidRPr="005A79FF">
        <w:rPr>
          <w:rFonts w:asciiTheme="majorBidi" w:hAnsiTheme="majorBidi" w:cstheme="majorBidi"/>
          <w:lang w:val="en-GB"/>
        </w:rPr>
        <w:t xml:space="preserve">      </w:t>
      </w:r>
    </w:p>
    <w:p w:rsidR="00CF3E4D" w:rsidRPr="00BA0B61" w:rsidRDefault="00BA0B61" w:rsidP="00BA0B61">
      <w:pPr>
        <w:spacing w:line="240" w:lineRule="auto"/>
        <w:rPr>
          <w:rFonts w:asciiTheme="majorBidi" w:hAnsiTheme="majorBidi" w:cstheme="majorBidi"/>
          <w:b/>
          <w:color w:val="FF0000"/>
        </w:rPr>
      </w:pPr>
      <w:r w:rsidRPr="007939D5">
        <w:rPr>
          <w:rFonts w:asciiTheme="majorBidi" w:hAnsiTheme="majorBidi" w:cstheme="majorBidi"/>
          <w:bCs/>
          <w:color w:val="FF0000"/>
        </w:rPr>
        <w:t xml:space="preserve">[Font: Times New Roman, 11] </w:t>
      </w:r>
      <w:r w:rsidRPr="007939D5">
        <w:rPr>
          <w:rFonts w:asciiTheme="majorBidi" w:hAnsiTheme="majorBidi" w:cstheme="majorBidi"/>
          <w:b/>
          <w:color w:val="FF0000"/>
        </w:rPr>
        <w:t>(APA Sixth Edition, Single Spacing)</w:t>
      </w:r>
      <w:r w:rsidR="00CF3E4D" w:rsidRPr="005A79FF">
        <w:rPr>
          <w:rFonts w:asciiTheme="majorBidi" w:hAnsiTheme="majorBidi" w:cstheme="majorBidi"/>
          <w:lang w:val="en-GB"/>
        </w:rPr>
        <w:t xml:space="preserve">                                          </w:t>
      </w:r>
    </w:p>
    <w:p w:rsidR="00CF3E4D" w:rsidRPr="005A79FF" w:rsidRDefault="00CF3E4D" w:rsidP="00CF3E4D">
      <w:pPr>
        <w:pStyle w:val="EndNoteBibliography"/>
        <w:ind w:left="720" w:hanging="720"/>
        <w:rPr>
          <w:rFonts w:asciiTheme="majorBidi" w:hAnsiTheme="majorBidi" w:cstheme="majorBidi"/>
          <w:sz w:val="22"/>
          <w:szCs w:val="22"/>
        </w:rPr>
      </w:pPr>
      <w:r w:rsidRPr="005A79FF">
        <w:rPr>
          <w:rFonts w:asciiTheme="majorBidi" w:hAnsiTheme="majorBidi" w:cstheme="majorBidi"/>
          <w:sz w:val="22"/>
          <w:szCs w:val="22"/>
        </w:rPr>
        <w:t xml:space="preserve">Bamford, David, Trevor C.W. Farrow, Michael Karayanni, Erik S. Knutsen, Shirley Shipman, and Beth Thornburg. 2013. "Learning the 'How' of the Law: Teaching Procedure and Legal Education."  </w:t>
      </w:r>
      <w:r w:rsidRPr="005A79FF">
        <w:rPr>
          <w:rFonts w:asciiTheme="majorBidi" w:hAnsiTheme="majorBidi" w:cstheme="majorBidi"/>
          <w:i/>
          <w:sz w:val="22"/>
          <w:szCs w:val="22"/>
        </w:rPr>
        <w:t>Osgoode Hall Law Journal</w:t>
      </w:r>
      <w:r w:rsidRPr="005A79FF">
        <w:rPr>
          <w:rFonts w:asciiTheme="majorBidi" w:hAnsiTheme="majorBidi" w:cstheme="majorBidi"/>
          <w:sz w:val="22"/>
          <w:szCs w:val="22"/>
        </w:rPr>
        <w:t xml:space="preserve"> 51 (1):45-91.</w:t>
      </w:r>
    </w:p>
    <w:p w:rsidR="00CF3E4D" w:rsidRPr="005A79FF" w:rsidRDefault="00CF3E4D" w:rsidP="00CF3E4D">
      <w:pPr>
        <w:pStyle w:val="EndNoteBibliography"/>
        <w:ind w:left="720" w:hanging="720"/>
        <w:rPr>
          <w:rFonts w:asciiTheme="majorBidi" w:hAnsiTheme="majorBidi" w:cstheme="majorBidi"/>
          <w:sz w:val="22"/>
          <w:szCs w:val="22"/>
        </w:rPr>
      </w:pPr>
      <w:r w:rsidRPr="005A79FF">
        <w:rPr>
          <w:rFonts w:asciiTheme="majorBidi" w:hAnsiTheme="majorBidi" w:cstheme="majorBidi"/>
          <w:sz w:val="22"/>
          <w:szCs w:val="22"/>
        </w:rPr>
        <w:t xml:space="preserve">Finkelstein, Jay Gary. 2015. "Practice in the Academy:  Creating “Practice Aware” Law Graduates."  </w:t>
      </w:r>
      <w:r w:rsidRPr="005A79FF">
        <w:rPr>
          <w:rFonts w:asciiTheme="majorBidi" w:hAnsiTheme="majorBidi" w:cstheme="majorBidi"/>
          <w:i/>
          <w:sz w:val="22"/>
          <w:szCs w:val="22"/>
        </w:rPr>
        <w:t>Journal of Legal Education</w:t>
      </w:r>
      <w:r w:rsidRPr="005A79FF">
        <w:rPr>
          <w:rFonts w:asciiTheme="majorBidi" w:hAnsiTheme="majorBidi" w:cstheme="majorBidi"/>
          <w:sz w:val="22"/>
          <w:szCs w:val="22"/>
        </w:rPr>
        <w:t xml:space="preserve"> 64 (4).</w:t>
      </w:r>
    </w:p>
    <w:p w:rsidR="00CF3E4D" w:rsidRPr="005A79FF" w:rsidRDefault="00CF3E4D" w:rsidP="00CF3E4D">
      <w:pPr>
        <w:pStyle w:val="EndNoteBibliography"/>
        <w:ind w:left="720" w:hanging="720"/>
        <w:rPr>
          <w:rFonts w:asciiTheme="majorBidi" w:hAnsiTheme="majorBidi" w:cstheme="majorBidi"/>
          <w:sz w:val="22"/>
          <w:szCs w:val="22"/>
        </w:rPr>
      </w:pPr>
      <w:r w:rsidRPr="005A79FF">
        <w:rPr>
          <w:rFonts w:asciiTheme="majorBidi" w:hAnsiTheme="majorBidi" w:cstheme="majorBidi"/>
          <w:sz w:val="22"/>
          <w:szCs w:val="22"/>
        </w:rPr>
        <w:t xml:space="preserve">Fliyd, Timothy W., Oren R. Griffin, and Karen J. Sneddon. 2011. "Beyond Chalk and Talk."  </w:t>
      </w:r>
      <w:r w:rsidRPr="005A79FF">
        <w:rPr>
          <w:rFonts w:asciiTheme="majorBidi" w:hAnsiTheme="majorBidi" w:cstheme="majorBidi"/>
          <w:i/>
          <w:sz w:val="22"/>
          <w:szCs w:val="22"/>
        </w:rPr>
        <w:t>Ohio Northern University Law Review.</w:t>
      </w:r>
      <w:r w:rsidRPr="005A79FF">
        <w:rPr>
          <w:rFonts w:asciiTheme="majorBidi" w:hAnsiTheme="majorBidi" w:cstheme="majorBidi"/>
          <w:sz w:val="22"/>
          <w:szCs w:val="22"/>
        </w:rPr>
        <w:t xml:space="preserve"> 38.</w:t>
      </w:r>
    </w:p>
    <w:p w:rsidR="00CF3E4D" w:rsidRPr="005A79FF" w:rsidRDefault="00CF3E4D" w:rsidP="00CF3E4D">
      <w:pPr>
        <w:pStyle w:val="EndNoteBibliography"/>
        <w:ind w:left="720" w:hanging="720"/>
        <w:rPr>
          <w:rFonts w:asciiTheme="majorBidi" w:hAnsiTheme="majorBidi" w:cstheme="majorBidi"/>
          <w:sz w:val="22"/>
          <w:szCs w:val="22"/>
        </w:rPr>
      </w:pPr>
      <w:r w:rsidRPr="005A79FF">
        <w:rPr>
          <w:rFonts w:asciiTheme="majorBidi" w:hAnsiTheme="majorBidi" w:cstheme="majorBidi"/>
          <w:sz w:val="22"/>
          <w:szCs w:val="22"/>
        </w:rPr>
        <w:t xml:space="preserve">Gershowitz, Adam M. 2014. "The Wire as a Gap-Filling Class on Criminal Law and Procedure."  </w:t>
      </w:r>
      <w:r w:rsidRPr="005A79FF">
        <w:rPr>
          <w:rFonts w:asciiTheme="majorBidi" w:hAnsiTheme="majorBidi" w:cstheme="majorBidi"/>
          <w:i/>
          <w:sz w:val="22"/>
          <w:szCs w:val="22"/>
        </w:rPr>
        <w:t>Journal of Legal Education</w:t>
      </w:r>
      <w:r w:rsidRPr="005A79FF">
        <w:rPr>
          <w:rFonts w:asciiTheme="majorBidi" w:hAnsiTheme="majorBidi" w:cstheme="majorBidi"/>
          <w:sz w:val="22"/>
          <w:szCs w:val="22"/>
        </w:rPr>
        <w:t xml:space="preserve"> 64 (1):117-119.</w:t>
      </w:r>
    </w:p>
    <w:p w:rsidR="00CF3E4D" w:rsidRPr="005A79FF" w:rsidRDefault="00CF3E4D" w:rsidP="00CF3E4D">
      <w:pPr>
        <w:pStyle w:val="EndNoteBibliography"/>
        <w:ind w:left="720" w:hanging="720"/>
        <w:rPr>
          <w:rFonts w:asciiTheme="majorBidi" w:hAnsiTheme="majorBidi" w:cstheme="majorBidi"/>
          <w:sz w:val="22"/>
          <w:szCs w:val="22"/>
        </w:rPr>
      </w:pPr>
      <w:r w:rsidRPr="005A79FF">
        <w:rPr>
          <w:rFonts w:asciiTheme="majorBidi" w:hAnsiTheme="majorBidi" w:cstheme="majorBidi"/>
          <w:sz w:val="22"/>
          <w:szCs w:val="22"/>
        </w:rPr>
        <w:t>Kementerian Pengajian Malaysia. 2013. A Report on Future Directions of Legal Education in Malaysia: A Study commissioned by the Minister of Higher Education. Kementerian Pengajian Malaysia.</w:t>
      </w:r>
    </w:p>
    <w:p w:rsidR="00CF3E4D" w:rsidRPr="005A79FF" w:rsidRDefault="00CF3E4D" w:rsidP="00CF3E4D">
      <w:pPr>
        <w:pStyle w:val="EndNoteBibliography"/>
        <w:ind w:left="720" w:hanging="720"/>
        <w:rPr>
          <w:rFonts w:asciiTheme="majorBidi" w:hAnsiTheme="majorBidi" w:cstheme="majorBidi"/>
          <w:sz w:val="22"/>
          <w:szCs w:val="22"/>
        </w:rPr>
      </w:pPr>
      <w:r w:rsidRPr="005A79FF">
        <w:rPr>
          <w:rFonts w:asciiTheme="majorBidi" w:hAnsiTheme="majorBidi" w:cstheme="majorBidi"/>
          <w:sz w:val="22"/>
          <w:szCs w:val="22"/>
        </w:rPr>
        <w:t xml:space="preserve">Knutsen, Erik S., Thomas D. Rowe, David Bamfors, and Shirley Shipman. 2013. "The Teaching of Procedure Across Common Law Systems."  </w:t>
      </w:r>
      <w:r w:rsidRPr="005A79FF">
        <w:rPr>
          <w:rFonts w:asciiTheme="majorBidi" w:hAnsiTheme="majorBidi" w:cstheme="majorBidi"/>
          <w:i/>
          <w:sz w:val="22"/>
          <w:szCs w:val="22"/>
        </w:rPr>
        <w:t>Osgoode Hall Law Journal</w:t>
      </w:r>
      <w:r w:rsidRPr="005A79FF">
        <w:rPr>
          <w:rFonts w:asciiTheme="majorBidi" w:hAnsiTheme="majorBidi" w:cstheme="majorBidi"/>
          <w:sz w:val="22"/>
          <w:szCs w:val="22"/>
        </w:rPr>
        <w:t xml:space="preserve"> 51:1-44.</w:t>
      </w:r>
    </w:p>
    <w:p w:rsidR="00CF3E4D" w:rsidRPr="005A79FF" w:rsidRDefault="00CF3E4D" w:rsidP="00CF3E4D">
      <w:pPr>
        <w:pStyle w:val="EndNoteBibliography"/>
        <w:ind w:left="720" w:hanging="720"/>
        <w:rPr>
          <w:rFonts w:asciiTheme="majorBidi" w:hAnsiTheme="majorBidi" w:cstheme="majorBidi"/>
          <w:sz w:val="22"/>
          <w:szCs w:val="22"/>
        </w:rPr>
      </w:pPr>
      <w:r w:rsidRPr="005A79FF">
        <w:rPr>
          <w:rFonts w:asciiTheme="majorBidi" w:hAnsiTheme="majorBidi" w:cstheme="majorBidi"/>
          <w:sz w:val="22"/>
          <w:szCs w:val="22"/>
        </w:rPr>
        <w:t xml:space="preserve">Nagle, Barry, and Nichelle Williams. </w:t>
      </w:r>
      <w:r w:rsidRPr="005A79FF">
        <w:rPr>
          <w:rFonts w:asciiTheme="majorBidi" w:hAnsiTheme="majorBidi" w:cstheme="majorBidi"/>
          <w:i/>
          <w:sz w:val="22"/>
          <w:szCs w:val="22"/>
        </w:rPr>
        <w:t>Methodology Brief: Introduction to Focus Group</w:t>
      </w:r>
      <w:r w:rsidRPr="005A79FF">
        <w:rPr>
          <w:rFonts w:asciiTheme="majorBidi" w:hAnsiTheme="majorBidi" w:cstheme="majorBidi"/>
          <w:sz w:val="22"/>
          <w:szCs w:val="22"/>
        </w:rPr>
        <w:t>: Center for Assessment, Planning &amp; Accountability.</w:t>
      </w:r>
    </w:p>
    <w:p w:rsidR="00CF3E4D" w:rsidRPr="005A79FF" w:rsidRDefault="00CF3E4D" w:rsidP="00CF3E4D">
      <w:pPr>
        <w:pStyle w:val="EndNoteBibliography"/>
        <w:ind w:left="720" w:hanging="720"/>
        <w:rPr>
          <w:rFonts w:asciiTheme="majorBidi" w:hAnsiTheme="majorBidi" w:cstheme="majorBidi"/>
          <w:sz w:val="22"/>
          <w:szCs w:val="22"/>
        </w:rPr>
      </w:pPr>
      <w:r w:rsidRPr="005A79FF">
        <w:rPr>
          <w:rFonts w:asciiTheme="majorBidi" w:hAnsiTheme="majorBidi" w:cstheme="majorBidi"/>
          <w:sz w:val="22"/>
          <w:szCs w:val="22"/>
        </w:rPr>
        <w:t xml:space="preserve">Nor, Mahmud Z. Mohd, Siti Naaishah Hambali, Safinaz Mohd Hussein, Faridah Jalil, and Rohaida Nordin. 2011. "Clinical Legal Education at the Faculty of Law: An Initial Review."  </w:t>
      </w:r>
      <w:r w:rsidRPr="005A79FF">
        <w:rPr>
          <w:rFonts w:asciiTheme="majorBidi" w:hAnsiTheme="majorBidi" w:cstheme="majorBidi"/>
          <w:i/>
          <w:sz w:val="22"/>
          <w:szCs w:val="22"/>
        </w:rPr>
        <w:t>Procedia Social and Behavioral Sciences</w:t>
      </w:r>
      <w:r w:rsidRPr="005A79FF">
        <w:rPr>
          <w:rFonts w:asciiTheme="majorBidi" w:hAnsiTheme="majorBidi" w:cstheme="majorBidi"/>
          <w:sz w:val="22"/>
          <w:szCs w:val="22"/>
        </w:rPr>
        <w:t xml:space="preserve"> 18:527-533.</w:t>
      </w:r>
    </w:p>
    <w:p w:rsidR="00CF3E4D" w:rsidRPr="005A79FF" w:rsidRDefault="00CF3E4D" w:rsidP="00CF3E4D">
      <w:pPr>
        <w:pStyle w:val="EndNoteBibliography"/>
        <w:ind w:left="720" w:hanging="720"/>
        <w:rPr>
          <w:rFonts w:asciiTheme="majorBidi" w:hAnsiTheme="majorBidi" w:cstheme="majorBidi"/>
          <w:sz w:val="22"/>
          <w:szCs w:val="22"/>
        </w:rPr>
      </w:pPr>
      <w:r w:rsidRPr="005A79FF">
        <w:rPr>
          <w:rFonts w:asciiTheme="majorBidi" w:hAnsiTheme="majorBidi" w:cstheme="majorBidi"/>
          <w:sz w:val="22"/>
          <w:szCs w:val="22"/>
        </w:rPr>
        <w:t xml:space="preserve">Oppenheimer, David B. 2016. "Using a Simulated Case File to Teach Civil Procedure: The Ninety-Percent Solution."  </w:t>
      </w:r>
      <w:r w:rsidRPr="005A79FF">
        <w:rPr>
          <w:rFonts w:asciiTheme="majorBidi" w:hAnsiTheme="majorBidi" w:cstheme="majorBidi"/>
          <w:i/>
          <w:sz w:val="22"/>
          <w:szCs w:val="22"/>
        </w:rPr>
        <w:t>Journal of Legal Education</w:t>
      </w:r>
      <w:r w:rsidRPr="005A79FF">
        <w:rPr>
          <w:rFonts w:asciiTheme="majorBidi" w:hAnsiTheme="majorBidi" w:cstheme="majorBidi"/>
          <w:sz w:val="22"/>
          <w:szCs w:val="22"/>
        </w:rPr>
        <w:t xml:space="preserve"> 65 (4).</w:t>
      </w:r>
    </w:p>
    <w:p w:rsidR="00CF3E4D" w:rsidRPr="005A79FF" w:rsidRDefault="00CF3E4D" w:rsidP="00CF3E4D">
      <w:pPr>
        <w:pStyle w:val="EndNoteBibliography"/>
        <w:ind w:left="720" w:hanging="720"/>
        <w:rPr>
          <w:rFonts w:asciiTheme="majorBidi" w:hAnsiTheme="majorBidi" w:cstheme="majorBidi"/>
          <w:sz w:val="22"/>
          <w:szCs w:val="22"/>
        </w:rPr>
      </w:pPr>
      <w:r w:rsidRPr="005A79FF">
        <w:rPr>
          <w:rFonts w:asciiTheme="majorBidi" w:hAnsiTheme="majorBidi" w:cstheme="majorBidi"/>
          <w:sz w:val="22"/>
          <w:szCs w:val="22"/>
        </w:rPr>
        <w:t xml:space="preserve">Tidmarsh, Jay, and Katz. Howard E. 2013. </w:t>
      </w:r>
      <w:r w:rsidRPr="005A79FF">
        <w:rPr>
          <w:rFonts w:asciiTheme="majorBidi" w:hAnsiTheme="majorBidi" w:cstheme="majorBidi"/>
          <w:i/>
          <w:sz w:val="22"/>
          <w:szCs w:val="22"/>
        </w:rPr>
        <w:t>Strategies and Techniques for Teaching Civil Procedure</w:t>
      </w:r>
      <w:r w:rsidRPr="005A79FF">
        <w:rPr>
          <w:rFonts w:asciiTheme="majorBidi" w:hAnsiTheme="majorBidi" w:cstheme="majorBidi"/>
          <w:sz w:val="22"/>
          <w:szCs w:val="22"/>
        </w:rPr>
        <w:t>. New York: Wolters Kluwer Law &amp; Business.</w:t>
      </w:r>
    </w:p>
    <w:p w:rsidR="00CF3E4D" w:rsidRPr="005A79FF" w:rsidRDefault="00CF3E4D" w:rsidP="00CF3E4D">
      <w:pPr>
        <w:spacing w:line="240" w:lineRule="auto"/>
        <w:jc w:val="both"/>
        <w:rPr>
          <w:rFonts w:asciiTheme="majorBidi" w:hAnsiTheme="majorBidi" w:cstheme="majorBidi"/>
          <w:lang w:val="en-GB"/>
        </w:rPr>
      </w:pPr>
    </w:p>
    <w:p w:rsidR="00CF3E4D" w:rsidRDefault="00CF3E4D" w:rsidP="00CF3E4D">
      <w:pPr>
        <w:spacing w:line="240" w:lineRule="auto"/>
        <w:jc w:val="both"/>
        <w:rPr>
          <w:rFonts w:asciiTheme="majorBidi" w:hAnsiTheme="majorBidi" w:cstheme="majorBidi"/>
        </w:rPr>
      </w:pPr>
    </w:p>
    <w:p w:rsidR="00FF1991" w:rsidRDefault="00FF1991" w:rsidP="00CF3E4D">
      <w:pPr>
        <w:spacing w:line="240" w:lineRule="auto"/>
        <w:jc w:val="both"/>
        <w:rPr>
          <w:rFonts w:asciiTheme="majorBidi" w:hAnsiTheme="majorBidi" w:cstheme="majorBidi"/>
        </w:rPr>
      </w:pPr>
    </w:p>
    <w:p w:rsidR="00FF1991" w:rsidRDefault="00FF1991" w:rsidP="00CF3E4D">
      <w:pPr>
        <w:spacing w:line="240" w:lineRule="auto"/>
        <w:jc w:val="both"/>
        <w:rPr>
          <w:rFonts w:asciiTheme="majorBidi" w:hAnsiTheme="majorBidi" w:cstheme="majorBidi"/>
        </w:rPr>
      </w:pPr>
    </w:p>
    <w:p w:rsidR="00FF1991" w:rsidRDefault="00FF1991" w:rsidP="00CF3E4D">
      <w:pPr>
        <w:spacing w:line="240" w:lineRule="auto"/>
        <w:jc w:val="both"/>
        <w:rPr>
          <w:rFonts w:asciiTheme="majorBidi" w:hAnsiTheme="majorBidi" w:cstheme="majorBidi"/>
        </w:rPr>
      </w:pPr>
    </w:p>
    <w:p w:rsidR="00FF1991" w:rsidRDefault="00FF1991" w:rsidP="00CF3E4D">
      <w:pPr>
        <w:spacing w:line="240" w:lineRule="auto"/>
        <w:jc w:val="both"/>
        <w:rPr>
          <w:rFonts w:asciiTheme="majorBidi" w:hAnsiTheme="majorBidi" w:cstheme="majorBidi"/>
        </w:rPr>
      </w:pPr>
    </w:p>
    <w:p w:rsidR="00FF1991" w:rsidRDefault="00FF1991" w:rsidP="00CF3E4D">
      <w:pPr>
        <w:spacing w:line="240" w:lineRule="auto"/>
        <w:jc w:val="both"/>
        <w:rPr>
          <w:rFonts w:asciiTheme="majorBidi" w:hAnsiTheme="majorBidi" w:cstheme="majorBidi"/>
        </w:rPr>
      </w:pPr>
    </w:p>
    <w:p w:rsidR="00FF1991" w:rsidRDefault="00FF1991" w:rsidP="00CF3E4D">
      <w:pPr>
        <w:spacing w:line="240" w:lineRule="auto"/>
        <w:jc w:val="both"/>
        <w:rPr>
          <w:rFonts w:asciiTheme="majorBidi" w:hAnsiTheme="majorBidi" w:cstheme="majorBidi"/>
        </w:rPr>
      </w:pPr>
    </w:p>
    <w:p w:rsidR="00FF1991" w:rsidRDefault="00FF1991" w:rsidP="00CF3E4D">
      <w:pPr>
        <w:spacing w:line="240" w:lineRule="auto"/>
        <w:jc w:val="both"/>
        <w:rPr>
          <w:rFonts w:asciiTheme="majorBidi" w:hAnsiTheme="majorBidi" w:cstheme="majorBidi"/>
        </w:rPr>
      </w:pPr>
    </w:p>
    <w:p w:rsidR="00FF1991" w:rsidRDefault="00FF1991" w:rsidP="00CF3E4D">
      <w:pPr>
        <w:spacing w:line="240" w:lineRule="auto"/>
        <w:jc w:val="both"/>
        <w:rPr>
          <w:rFonts w:asciiTheme="majorBidi" w:hAnsiTheme="majorBidi" w:cstheme="majorBidi"/>
        </w:rPr>
      </w:pPr>
    </w:p>
    <w:p w:rsidR="00FF1991" w:rsidRDefault="00FF1991" w:rsidP="00CF3E4D">
      <w:pPr>
        <w:spacing w:line="240" w:lineRule="auto"/>
        <w:jc w:val="both"/>
        <w:rPr>
          <w:rFonts w:asciiTheme="majorBidi" w:hAnsiTheme="majorBidi" w:cstheme="majorBidi"/>
        </w:rPr>
      </w:pPr>
    </w:p>
    <w:p w:rsidR="00FF1991" w:rsidRDefault="00FF1991" w:rsidP="00CF3E4D">
      <w:pPr>
        <w:spacing w:line="240" w:lineRule="auto"/>
        <w:jc w:val="both"/>
        <w:rPr>
          <w:rFonts w:asciiTheme="majorBidi" w:hAnsiTheme="majorBidi" w:cstheme="majorBidi"/>
        </w:rPr>
      </w:pPr>
    </w:p>
    <w:p w:rsidR="00FF1991" w:rsidRDefault="00FF1991" w:rsidP="00CF3E4D">
      <w:pPr>
        <w:spacing w:line="240" w:lineRule="auto"/>
        <w:jc w:val="both"/>
        <w:rPr>
          <w:rFonts w:asciiTheme="majorBidi" w:hAnsiTheme="majorBidi" w:cstheme="majorBidi"/>
        </w:rPr>
      </w:pPr>
    </w:p>
    <w:p w:rsidR="00FF1991" w:rsidRDefault="00FF1991" w:rsidP="00CF3E4D">
      <w:pPr>
        <w:spacing w:line="240" w:lineRule="auto"/>
        <w:jc w:val="both"/>
        <w:rPr>
          <w:rFonts w:asciiTheme="majorBidi" w:hAnsiTheme="majorBidi" w:cstheme="majorBidi"/>
        </w:rPr>
      </w:pPr>
    </w:p>
    <w:p w:rsidR="00FF1991" w:rsidRDefault="00FF1991" w:rsidP="00CF3E4D">
      <w:pPr>
        <w:spacing w:line="240" w:lineRule="auto"/>
        <w:jc w:val="both"/>
        <w:rPr>
          <w:rFonts w:asciiTheme="majorBidi" w:hAnsiTheme="majorBidi" w:cstheme="majorBidi"/>
        </w:rPr>
      </w:pPr>
    </w:p>
    <w:p w:rsidR="00FF1991" w:rsidRDefault="00FF1991" w:rsidP="00CF3E4D">
      <w:pPr>
        <w:spacing w:line="240" w:lineRule="auto"/>
        <w:jc w:val="both"/>
        <w:rPr>
          <w:rFonts w:asciiTheme="majorBidi" w:hAnsiTheme="majorBidi" w:cstheme="majorBidi"/>
        </w:rPr>
      </w:pPr>
    </w:p>
    <w:p w:rsidR="00FF1991" w:rsidRDefault="00FF1991" w:rsidP="00CF3E4D">
      <w:pPr>
        <w:spacing w:line="240" w:lineRule="auto"/>
        <w:jc w:val="both"/>
        <w:rPr>
          <w:rFonts w:asciiTheme="majorBidi" w:hAnsiTheme="majorBidi" w:cstheme="majorBidi"/>
        </w:rPr>
      </w:pPr>
    </w:p>
    <w:p w:rsidR="00FF1991" w:rsidRDefault="00FF1991" w:rsidP="00CF3E4D">
      <w:pPr>
        <w:spacing w:line="240" w:lineRule="auto"/>
        <w:jc w:val="both"/>
        <w:rPr>
          <w:rFonts w:asciiTheme="majorBidi" w:hAnsiTheme="majorBidi" w:cstheme="majorBidi"/>
        </w:rPr>
      </w:pPr>
    </w:p>
    <w:bookmarkStart w:id="7" w:name="_Hlk117179054"/>
    <w:p w:rsidR="00FF1991" w:rsidRPr="001E19A1" w:rsidRDefault="00FF1991" w:rsidP="00FF1991">
      <w:pPr>
        <w:shd w:val="clear" w:color="auto" w:fill="FFC000"/>
        <w:jc w:val="center"/>
        <w:rPr>
          <w:rFonts w:ascii="Times New Roman" w:hAnsi="Times New Roman" w:cs="Times New Roman"/>
          <w:sz w:val="24"/>
          <w:szCs w:val="24"/>
        </w:rPr>
      </w:pPr>
      <w:r w:rsidRPr="00663CD7">
        <w:rPr>
          <w:rFonts w:ascii="Times New Roman" w:hAnsi="Times New Roman" w:cs="Times New Roman"/>
          <w:noProof/>
          <w:sz w:val="24"/>
          <w:szCs w:val="24"/>
          <w:lang w:val="ms-MY" w:eastAsia="ms-MY"/>
        </w:rPr>
        <w:lastRenderedPageBreak/>
        <mc:AlternateContent>
          <mc:Choice Requires="wps">
            <w:drawing>
              <wp:anchor distT="0" distB="0" distL="114300" distR="114300" simplePos="0" relativeHeight="251659264" behindDoc="0" locked="0" layoutInCell="1" allowOverlap="1" wp14:anchorId="4BF0B64A" wp14:editId="6C8E2533">
                <wp:simplePos x="0" y="0"/>
                <wp:positionH relativeFrom="column">
                  <wp:posOffset>-590550</wp:posOffset>
                </wp:positionH>
                <wp:positionV relativeFrom="paragraph">
                  <wp:posOffset>-144780</wp:posOffset>
                </wp:positionV>
                <wp:extent cx="6924675" cy="84391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924675" cy="8439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A0E6F3" id="Rectangle 1" o:spid="_x0000_s1026" style="position:absolute;margin-left:-46.5pt;margin-top:-11.4pt;width:545.25pt;height:6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" filled="f" strokecolor="#1f4d78 [1604]" strokeweight="1pt"/>
            </w:pict>
          </mc:Fallback>
        </mc:AlternateContent>
      </w:r>
      <w:bookmarkStart w:id="8" w:name="_Hlk117179148"/>
      <w:r w:rsidRPr="00663CD7">
        <w:rPr>
          <w:rFonts w:ascii="Times New Roman" w:hAnsi="Times New Roman" w:cs="Times New Roman"/>
          <w:b/>
          <w:bCs/>
          <w:sz w:val="24"/>
          <w:szCs w:val="24"/>
        </w:rPr>
        <w:t>AUTHOR’S GUIDELINES</w:t>
      </w:r>
    </w:p>
    <w:p w:rsidR="00FF1991" w:rsidRDefault="00FF1991" w:rsidP="00FF1991">
      <w:pPr>
        <w:pStyle w:val="ListParagraph"/>
        <w:numPr>
          <w:ilvl w:val="0"/>
          <w:numId w:val="4"/>
        </w:numPr>
        <w:spacing w:after="160" w:line="259" w:lineRule="auto"/>
        <w:contextualSpacing/>
      </w:pPr>
      <w:r>
        <w:t xml:space="preserve">Submissions </w:t>
      </w:r>
      <w:r w:rsidRPr="00663CD7">
        <w:t xml:space="preserve">must be written in </w:t>
      </w:r>
      <w:r>
        <w:t>English, Arabic or Malay</w:t>
      </w:r>
      <w:r w:rsidRPr="00663CD7">
        <w:t>.</w:t>
      </w:r>
    </w:p>
    <w:p w:rsidR="00FF1991" w:rsidRDefault="00FF1991" w:rsidP="00FF1991">
      <w:pPr>
        <w:pStyle w:val="ListParagraph"/>
        <w:numPr>
          <w:ilvl w:val="0"/>
          <w:numId w:val="4"/>
        </w:numPr>
        <w:spacing w:after="160" w:line="259" w:lineRule="auto"/>
        <w:contextualSpacing/>
      </w:pPr>
      <w:r w:rsidRPr="00663CD7">
        <w:t>Font type: Times New Roman</w:t>
      </w:r>
    </w:p>
    <w:p w:rsidR="00FF1991" w:rsidRDefault="00FF1991" w:rsidP="00FF1991">
      <w:pPr>
        <w:pStyle w:val="ListParagraph"/>
        <w:numPr>
          <w:ilvl w:val="0"/>
          <w:numId w:val="4"/>
        </w:numPr>
        <w:spacing w:after="160" w:line="259" w:lineRule="auto"/>
        <w:contextualSpacing/>
      </w:pPr>
      <w:r w:rsidRPr="00D925FA">
        <w:t xml:space="preserve">Keywords for the article: 2-4 keywords are sufficient; </w:t>
      </w:r>
    </w:p>
    <w:p w:rsidR="00FF1991" w:rsidRDefault="00FF1991" w:rsidP="00FF1991">
      <w:pPr>
        <w:pStyle w:val="ListParagraph"/>
        <w:numPr>
          <w:ilvl w:val="0"/>
          <w:numId w:val="4"/>
        </w:numPr>
        <w:spacing w:after="160" w:line="259" w:lineRule="auto"/>
        <w:contextualSpacing/>
      </w:pPr>
      <w:r w:rsidRPr="00663CD7">
        <w:t>The full term for which an abbreviation or acronym stands should precede its first use unless it is a standard use or unit of measurement.</w:t>
      </w:r>
    </w:p>
    <w:p w:rsidR="00FF1991" w:rsidRPr="007E09E0" w:rsidRDefault="00FF1991" w:rsidP="00FF1991">
      <w:pPr>
        <w:pStyle w:val="ListParagraph"/>
        <w:numPr>
          <w:ilvl w:val="0"/>
          <w:numId w:val="4"/>
        </w:numPr>
        <w:spacing w:after="160" w:line="259" w:lineRule="auto"/>
        <w:contextualSpacing/>
      </w:pPr>
      <w:r w:rsidRPr="007E09E0">
        <w:t>The manuscript should be checked for grammar and language errors</w:t>
      </w:r>
      <w:r>
        <w:t>.</w:t>
      </w:r>
    </w:p>
    <w:p w:rsidR="00FF1991" w:rsidRPr="00D925FA" w:rsidRDefault="00FF1991" w:rsidP="00FF1991">
      <w:pPr>
        <w:pStyle w:val="ListParagraph"/>
        <w:numPr>
          <w:ilvl w:val="0"/>
          <w:numId w:val="4"/>
        </w:numPr>
        <w:spacing w:after="160" w:line="259" w:lineRule="auto"/>
        <w:contextualSpacing/>
      </w:pPr>
      <w:r>
        <w:t>Papers must not exceed 3,5</w:t>
      </w:r>
      <w:r w:rsidRPr="00D925FA">
        <w:t>00 words</w:t>
      </w:r>
      <w:r>
        <w:t>/10 pages in length</w:t>
      </w:r>
      <w:r w:rsidRPr="00D925FA">
        <w:t>,</w:t>
      </w:r>
      <w:r>
        <w:t xml:space="preserve"> and</w:t>
      </w:r>
      <w:r w:rsidRPr="00D925FA">
        <w:t xml:space="preserve"> should be submitted and follow a scientific approach, which include but not limited to: </w:t>
      </w:r>
    </w:p>
    <w:p w:rsidR="00FF1991" w:rsidRPr="00D925FA" w:rsidRDefault="00FF1991" w:rsidP="00FF1991">
      <w:pPr>
        <w:pStyle w:val="ListParagraph"/>
      </w:pPr>
      <w:r w:rsidRPr="00D925FA">
        <w:t></w:t>
      </w:r>
      <w:r w:rsidRPr="00D925FA">
        <w:tab/>
        <w:t xml:space="preserve">Title: The title of the article should be no more than 15 words; </w:t>
      </w:r>
    </w:p>
    <w:p w:rsidR="00FF1991" w:rsidRPr="00D925FA" w:rsidRDefault="00FF1991" w:rsidP="00FF1991">
      <w:pPr>
        <w:pStyle w:val="ListParagraph"/>
      </w:pPr>
      <w:r w:rsidRPr="00D925FA">
        <w:t></w:t>
      </w:r>
      <w:r w:rsidRPr="00D925FA">
        <w:tab/>
        <w:t xml:space="preserve">Introduction: </w:t>
      </w:r>
      <w:proofErr w:type="spellStart"/>
      <w:r w:rsidRPr="00D925FA">
        <w:t>Backgroud</w:t>
      </w:r>
      <w:proofErr w:type="spellEnd"/>
    </w:p>
    <w:p w:rsidR="00FF1991" w:rsidRPr="00D925FA" w:rsidRDefault="00FF1991" w:rsidP="00FF1991">
      <w:pPr>
        <w:pStyle w:val="ListParagraph"/>
      </w:pPr>
      <w:r w:rsidRPr="00D925FA">
        <w:t></w:t>
      </w:r>
      <w:r w:rsidRPr="00D925FA">
        <w:tab/>
        <w:t xml:space="preserve">Objective </w:t>
      </w:r>
    </w:p>
    <w:p w:rsidR="00FF1991" w:rsidRPr="00D925FA" w:rsidRDefault="00FF1991" w:rsidP="00FF1991">
      <w:pPr>
        <w:pStyle w:val="ListParagraph"/>
      </w:pPr>
      <w:r w:rsidRPr="00D925FA">
        <w:t></w:t>
      </w:r>
      <w:r w:rsidRPr="00D925FA">
        <w:tab/>
        <w:t xml:space="preserve">Literature Review; </w:t>
      </w:r>
    </w:p>
    <w:p w:rsidR="00FF1991" w:rsidRPr="00D925FA" w:rsidRDefault="00FF1991" w:rsidP="00FF1991">
      <w:pPr>
        <w:pStyle w:val="ListParagraph"/>
      </w:pPr>
      <w:r w:rsidRPr="00D925FA">
        <w:t></w:t>
      </w:r>
      <w:r w:rsidRPr="00D925FA">
        <w:tab/>
        <w:t xml:space="preserve">Methodology; </w:t>
      </w:r>
    </w:p>
    <w:p w:rsidR="00FF1991" w:rsidRPr="00D925FA" w:rsidRDefault="00FF1991" w:rsidP="00FF1991">
      <w:pPr>
        <w:pStyle w:val="ListParagraph"/>
      </w:pPr>
      <w:r w:rsidRPr="00D925FA">
        <w:t></w:t>
      </w:r>
      <w:r w:rsidRPr="00D925FA">
        <w:tab/>
        <w:t xml:space="preserve">Results and Analysis; </w:t>
      </w:r>
    </w:p>
    <w:p w:rsidR="00FF1991" w:rsidRPr="00663CD7" w:rsidRDefault="00FF1991" w:rsidP="00FF1991">
      <w:pPr>
        <w:pStyle w:val="ListParagraph"/>
      </w:pPr>
      <w:r w:rsidRPr="00D925FA">
        <w:t></w:t>
      </w:r>
      <w:r w:rsidRPr="00D925FA">
        <w:tab/>
        <w:t>Conclusion and Recommendation.</w:t>
      </w:r>
    </w:p>
    <w:p w:rsidR="00FF1991" w:rsidRPr="00D600DF" w:rsidRDefault="00FF1991" w:rsidP="00FF1991">
      <w:pPr>
        <w:rPr>
          <w:rFonts w:ascii="Times New Roman" w:hAnsi="Times New Roman" w:cs="Times New Roman"/>
          <w:sz w:val="24"/>
          <w:szCs w:val="24"/>
        </w:rPr>
      </w:pPr>
    </w:p>
    <w:p w:rsidR="00FF1991" w:rsidRPr="00D600DF" w:rsidRDefault="00FF1991" w:rsidP="00FF1991">
      <w:pPr>
        <w:rPr>
          <w:rFonts w:ascii="Times New Roman" w:hAnsi="Times New Roman" w:cs="Times New Roman"/>
          <w:b/>
          <w:bCs/>
          <w:sz w:val="24"/>
          <w:szCs w:val="24"/>
        </w:rPr>
      </w:pPr>
      <w:r w:rsidRPr="00D600DF">
        <w:rPr>
          <w:rFonts w:ascii="Times New Roman" w:hAnsi="Times New Roman" w:cs="Times New Roman"/>
          <w:b/>
          <w:bCs/>
          <w:sz w:val="24"/>
          <w:szCs w:val="24"/>
        </w:rPr>
        <w:t xml:space="preserve">Layout </w:t>
      </w:r>
      <w:r w:rsidRPr="00663CD7">
        <w:rPr>
          <w:rFonts w:ascii="Times New Roman" w:hAnsi="Times New Roman" w:cs="Times New Roman"/>
          <w:b/>
          <w:bCs/>
          <w:sz w:val="24"/>
          <w:szCs w:val="24"/>
        </w:rPr>
        <w:t>(Font)</w:t>
      </w:r>
    </w:p>
    <w:p w:rsidR="00FF1991" w:rsidRPr="00663CD7" w:rsidRDefault="00FF1991" w:rsidP="00FF1991">
      <w:pPr>
        <w:pStyle w:val="ListParagraph"/>
      </w:pPr>
      <w:r w:rsidRPr="00663CD7">
        <w:t>Size of the font</w:t>
      </w:r>
      <w:r w:rsidRPr="00663CD7">
        <w:tab/>
      </w:r>
      <w:r w:rsidRPr="00663CD7">
        <w:tab/>
      </w:r>
    </w:p>
    <w:p w:rsidR="00FF1991" w:rsidRPr="00663CD7" w:rsidRDefault="00FF1991" w:rsidP="00FF1991">
      <w:pPr>
        <w:pStyle w:val="ListParagraph"/>
        <w:numPr>
          <w:ilvl w:val="0"/>
          <w:numId w:val="6"/>
        </w:numPr>
        <w:spacing w:after="160" w:line="259" w:lineRule="auto"/>
        <w:contextualSpacing/>
      </w:pPr>
      <w:r w:rsidRPr="00663CD7">
        <w:t>Title</w:t>
      </w:r>
      <w:r w:rsidRPr="00663CD7">
        <w:tab/>
      </w:r>
      <w:r w:rsidRPr="00663CD7">
        <w:tab/>
      </w:r>
      <w:r w:rsidRPr="00663CD7">
        <w:tab/>
      </w:r>
      <w:r w:rsidRPr="00663CD7">
        <w:tab/>
      </w:r>
      <w:r w:rsidRPr="00663CD7">
        <w:tab/>
      </w:r>
      <w:r w:rsidRPr="00663CD7">
        <w:tab/>
        <w:t>: 11 point</w:t>
      </w:r>
    </w:p>
    <w:p w:rsidR="00FF1991" w:rsidRPr="00663CD7" w:rsidRDefault="00FF1991" w:rsidP="00FF1991">
      <w:pPr>
        <w:pStyle w:val="ListParagraph"/>
        <w:numPr>
          <w:ilvl w:val="0"/>
          <w:numId w:val="5"/>
        </w:numPr>
        <w:spacing w:after="160" w:line="259" w:lineRule="auto"/>
        <w:contextualSpacing/>
      </w:pPr>
      <w:r w:rsidRPr="00663CD7">
        <w:t>Authors list</w:t>
      </w:r>
      <w:r w:rsidRPr="00663CD7">
        <w:tab/>
      </w:r>
      <w:r w:rsidRPr="00663CD7">
        <w:tab/>
      </w:r>
      <w:r w:rsidRPr="00663CD7">
        <w:tab/>
      </w:r>
      <w:r w:rsidRPr="00663CD7">
        <w:tab/>
      </w:r>
      <w:r w:rsidRPr="00663CD7">
        <w:tab/>
        <w:t>: 9 point</w:t>
      </w:r>
    </w:p>
    <w:p w:rsidR="00FF1991" w:rsidRPr="00663CD7" w:rsidRDefault="00FF1991" w:rsidP="00FF1991">
      <w:pPr>
        <w:pStyle w:val="ListParagraph"/>
        <w:numPr>
          <w:ilvl w:val="0"/>
          <w:numId w:val="5"/>
        </w:numPr>
        <w:spacing w:after="160" w:line="259" w:lineRule="auto"/>
        <w:contextualSpacing/>
      </w:pPr>
      <w:r w:rsidRPr="00663CD7">
        <w:t>Affiliations</w:t>
      </w:r>
      <w:r w:rsidRPr="00663CD7">
        <w:tab/>
      </w:r>
      <w:r w:rsidRPr="00663CD7">
        <w:tab/>
      </w:r>
      <w:r w:rsidRPr="00663CD7">
        <w:tab/>
      </w:r>
      <w:r w:rsidRPr="00663CD7">
        <w:tab/>
      </w:r>
      <w:r w:rsidRPr="00663CD7">
        <w:tab/>
        <w:t>: 9 point</w:t>
      </w:r>
    </w:p>
    <w:p w:rsidR="00FF1991" w:rsidRPr="00663CD7" w:rsidRDefault="00FF1991" w:rsidP="00FF1991">
      <w:pPr>
        <w:pStyle w:val="ListParagraph"/>
        <w:numPr>
          <w:ilvl w:val="0"/>
          <w:numId w:val="5"/>
        </w:numPr>
        <w:spacing w:after="160" w:line="259" w:lineRule="auto"/>
        <w:contextualSpacing/>
      </w:pPr>
      <w:r w:rsidRPr="00663CD7">
        <w:t>Corresponding author's email</w:t>
      </w:r>
      <w:r w:rsidRPr="00663CD7">
        <w:tab/>
      </w:r>
      <w:r w:rsidRPr="00663CD7">
        <w:tab/>
      </w:r>
      <w:r w:rsidRPr="00663CD7">
        <w:tab/>
        <w:t>: 9 point</w:t>
      </w:r>
    </w:p>
    <w:p w:rsidR="00FF1991" w:rsidRPr="00663CD7" w:rsidRDefault="00FF1991" w:rsidP="00FF1991">
      <w:pPr>
        <w:pStyle w:val="ListParagraph"/>
        <w:numPr>
          <w:ilvl w:val="0"/>
          <w:numId w:val="5"/>
        </w:numPr>
        <w:spacing w:after="160" w:line="259" w:lineRule="auto"/>
        <w:contextualSpacing/>
      </w:pPr>
      <w:r w:rsidRPr="00663CD7">
        <w:t xml:space="preserve">The main text </w:t>
      </w:r>
      <w:r w:rsidRPr="00663CD7">
        <w:tab/>
      </w:r>
      <w:r w:rsidRPr="00663CD7">
        <w:tab/>
      </w:r>
      <w:r w:rsidRPr="00663CD7">
        <w:tab/>
      </w:r>
      <w:r w:rsidRPr="00663CD7">
        <w:tab/>
      </w:r>
      <w:r w:rsidRPr="00663CD7">
        <w:tab/>
        <w:t>: 11 point</w:t>
      </w:r>
    </w:p>
    <w:p w:rsidR="00FF1991" w:rsidRPr="00D600DF" w:rsidRDefault="00FF1991" w:rsidP="00FF1991">
      <w:pPr>
        <w:rPr>
          <w:rFonts w:ascii="Times New Roman" w:hAnsi="Times New Roman" w:cs="Times New Roman"/>
          <w:sz w:val="24"/>
          <w:szCs w:val="24"/>
        </w:rPr>
      </w:pPr>
    </w:p>
    <w:p w:rsidR="00FF1991" w:rsidRPr="00663CD7" w:rsidRDefault="00FF1991" w:rsidP="00FF1991">
      <w:pPr>
        <w:rPr>
          <w:rFonts w:ascii="Times New Roman" w:hAnsi="Times New Roman" w:cs="Times New Roman"/>
          <w:b/>
          <w:bCs/>
          <w:sz w:val="24"/>
          <w:szCs w:val="24"/>
        </w:rPr>
      </w:pPr>
      <w:r w:rsidRPr="00663CD7">
        <w:rPr>
          <w:rFonts w:ascii="Times New Roman" w:hAnsi="Times New Roman" w:cs="Times New Roman"/>
          <w:b/>
          <w:bCs/>
          <w:sz w:val="24"/>
          <w:szCs w:val="24"/>
        </w:rPr>
        <w:t>Referencing style</w:t>
      </w:r>
    </w:p>
    <w:p w:rsidR="00FF1991" w:rsidRDefault="00FF1991" w:rsidP="00FF1991">
      <w:pPr>
        <w:rPr>
          <w:rFonts w:asciiTheme="majorBidi" w:hAnsiTheme="majorBidi" w:cstheme="majorBidi"/>
          <w:sz w:val="24"/>
          <w:szCs w:val="24"/>
        </w:rPr>
      </w:pPr>
      <w:r w:rsidRPr="00663CD7">
        <w:rPr>
          <w:rFonts w:asciiTheme="majorBidi" w:hAnsiTheme="majorBidi" w:cstheme="majorBidi"/>
          <w:sz w:val="24"/>
          <w:szCs w:val="24"/>
        </w:rPr>
        <w:t>APA Sixth Edition, Single Spacing</w:t>
      </w:r>
    </w:p>
    <w:bookmarkEnd w:id="7"/>
    <w:bookmarkEnd w:id="8"/>
    <w:p w:rsidR="00FF1991" w:rsidRDefault="00FF1991" w:rsidP="00FF1991">
      <w:pPr>
        <w:rPr>
          <w:rFonts w:ascii="Times New Roman" w:hAnsi="Times New Roman" w:cs="Times New Roman"/>
          <w:sz w:val="24"/>
          <w:szCs w:val="24"/>
        </w:rPr>
      </w:pPr>
    </w:p>
    <w:p w:rsidR="00FF1991" w:rsidRPr="005A79FF" w:rsidRDefault="00FF1991" w:rsidP="00CF3E4D">
      <w:pPr>
        <w:spacing w:line="240" w:lineRule="auto"/>
        <w:jc w:val="both"/>
        <w:rPr>
          <w:rFonts w:asciiTheme="majorBidi" w:hAnsiTheme="majorBidi" w:cstheme="majorBidi"/>
        </w:rPr>
      </w:pPr>
    </w:p>
    <w:sectPr w:rsidR="00FF1991" w:rsidRPr="005A79FF" w:rsidSect="00FE438D">
      <w:headerReference w:type="even" r:id="rId8"/>
      <w:headerReference w:type="default" r:id="rId9"/>
      <w:headerReference w:type="first" r:id="rId10"/>
      <w:pgSz w:w="11906" w:h="16838" w:code="9"/>
      <w:pgMar w:top="1206"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0F7" w:rsidRDefault="00A420F7" w:rsidP="00971D50">
      <w:pPr>
        <w:spacing w:after="0" w:line="240" w:lineRule="auto"/>
      </w:pPr>
      <w:r>
        <w:separator/>
      </w:r>
    </w:p>
  </w:endnote>
  <w:endnote w:type="continuationSeparator" w:id="0">
    <w:p w:rsidR="00A420F7" w:rsidRDefault="00A420F7" w:rsidP="00971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0F7" w:rsidRDefault="00A420F7" w:rsidP="00971D50">
      <w:pPr>
        <w:spacing w:after="0" w:line="240" w:lineRule="auto"/>
      </w:pPr>
      <w:r>
        <w:separator/>
      </w:r>
    </w:p>
  </w:footnote>
  <w:footnote w:type="continuationSeparator" w:id="0">
    <w:p w:rsidR="00A420F7" w:rsidRDefault="00A420F7" w:rsidP="00971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CCF" w:rsidRPr="000B55D0" w:rsidRDefault="00942CCF" w:rsidP="00942CCF">
    <w:pPr>
      <w:pStyle w:val="Header"/>
      <w:tabs>
        <w:tab w:val="clear" w:pos="4513"/>
        <w:tab w:val="clear" w:pos="9026"/>
        <w:tab w:val="right" w:pos="5760"/>
      </w:tabs>
      <w:jc w:val="center"/>
      <w:rPr>
        <w:b/>
        <w:bCs/>
        <w:sz w:val="18"/>
        <w:szCs w:val="18"/>
      </w:rPr>
    </w:pPr>
    <w:r>
      <w:rPr>
        <w:b/>
        <w:bCs/>
        <w:sz w:val="18"/>
        <w:szCs w:val="18"/>
      </w:rPr>
      <w:t>The 4</w:t>
    </w:r>
    <w:r>
      <w:rPr>
        <w:b/>
        <w:bCs/>
        <w:sz w:val="18"/>
        <w:szCs w:val="18"/>
        <w:vertAlign w:val="superscript"/>
      </w:rPr>
      <w:t>th</w:t>
    </w:r>
    <w:r w:rsidRPr="000B55D0">
      <w:rPr>
        <w:b/>
        <w:bCs/>
        <w:sz w:val="18"/>
        <w:szCs w:val="18"/>
      </w:rPr>
      <w:t xml:space="preserve"> International Conference of the Postgraduate Students and Academics in </w:t>
    </w:r>
    <w:proofErr w:type="spellStart"/>
    <w:r w:rsidRPr="000B55D0">
      <w:rPr>
        <w:b/>
        <w:bCs/>
        <w:sz w:val="18"/>
        <w:szCs w:val="18"/>
      </w:rPr>
      <w:t>Syariah</w:t>
    </w:r>
    <w:proofErr w:type="spellEnd"/>
    <w:r w:rsidRPr="000B55D0">
      <w:rPr>
        <w:b/>
        <w:bCs/>
        <w:sz w:val="18"/>
        <w:szCs w:val="18"/>
      </w:rPr>
      <w:t xml:space="preserve"> and Law</w:t>
    </w:r>
    <w:r>
      <w:rPr>
        <w:b/>
        <w:bCs/>
        <w:sz w:val="18"/>
        <w:szCs w:val="18"/>
      </w:rPr>
      <w:t xml:space="preserve"> 2022 (INPAC 2022</w:t>
    </w:r>
    <w:r w:rsidRPr="000B55D0">
      <w:rPr>
        <w:b/>
        <w:bCs/>
        <w:sz w:val="18"/>
        <w:szCs w:val="18"/>
      </w:rPr>
      <w:t>)</w:t>
    </w:r>
  </w:p>
  <w:p w:rsidR="00942CCF" w:rsidRPr="000B55D0" w:rsidRDefault="00942CCF" w:rsidP="00942CCF">
    <w:pPr>
      <w:pStyle w:val="Header"/>
      <w:tabs>
        <w:tab w:val="clear" w:pos="9026"/>
        <w:tab w:val="left" w:pos="3150"/>
        <w:tab w:val="right" w:pos="5760"/>
      </w:tabs>
      <w:jc w:val="center"/>
      <w:rPr>
        <w:sz w:val="18"/>
        <w:szCs w:val="18"/>
      </w:rPr>
    </w:pPr>
    <w:r>
      <w:rPr>
        <w:sz w:val="18"/>
        <w:szCs w:val="18"/>
      </w:rPr>
      <w:t>“</w:t>
    </w:r>
    <w:proofErr w:type="spellStart"/>
    <w:r>
      <w:rPr>
        <w:sz w:val="18"/>
        <w:szCs w:val="18"/>
      </w:rPr>
      <w:t>Syariah</w:t>
    </w:r>
    <w:proofErr w:type="spellEnd"/>
    <w:r>
      <w:rPr>
        <w:sz w:val="18"/>
        <w:szCs w:val="18"/>
      </w:rPr>
      <w:t xml:space="preserve"> and Law Studies in Facing</w:t>
    </w:r>
    <w:r w:rsidRPr="000B55D0">
      <w:rPr>
        <w:sz w:val="18"/>
        <w:szCs w:val="18"/>
      </w:rPr>
      <w:t xml:space="preserve"> </w:t>
    </w:r>
    <w:r>
      <w:rPr>
        <w:sz w:val="18"/>
        <w:szCs w:val="18"/>
      </w:rPr>
      <w:t>the Contemporary Challenges</w:t>
    </w:r>
    <w:r w:rsidRPr="000B55D0">
      <w:rPr>
        <w:sz w:val="18"/>
        <w:szCs w:val="18"/>
      </w:rPr>
      <w:t>”</w:t>
    </w:r>
  </w:p>
  <w:p w:rsidR="00620F13" w:rsidRPr="00BA0B61" w:rsidRDefault="00620F13" w:rsidP="00BA0B6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E4D" w:rsidRPr="00FE438D" w:rsidRDefault="00866ACF" w:rsidP="00CF3E4D">
    <w:pPr>
      <w:spacing w:before="240" w:line="240" w:lineRule="auto"/>
      <w:jc w:val="center"/>
      <w:rPr>
        <w:rFonts w:asciiTheme="minorBidi" w:hAnsiTheme="minorBidi"/>
        <w:b/>
        <w:bCs/>
        <w:sz w:val="16"/>
        <w:szCs w:val="16"/>
        <w:lang w:val="en-GB"/>
      </w:rPr>
    </w:pPr>
    <w:r w:rsidRPr="00FE438D">
      <w:rPr>
        <w:rFonts w:asciiTheme="minorBidi" w:hAnsiTheme="minorBidi"/>
        <w:b/>
        <w:bCs/>
        <w:sz w:val="16"/>
        <w:szCs w:val="16"/>
        <w:lang w:val="en-GB"/>
      </w:rPr>
      <w:t>TEACHING AND LEARNING OF PROCEDURAL LAW COURSES: AN OVERVIEW OF THE BEST PRACTICE IN MALAYSIA</w:t>
    </w:r>
  </w:p>
  <w:p w:rsidR="00971D50" w:rsidRPr="00CF3E4D" w:rsidRDefault="00971D50" w:rsidP="00CF3E4D">
    <w:pPr>
      <w:pStyle w:val="Header"/>
      <w:rPr>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CCF" w:rsidRPr="000B55D0" w:rsidRDefault="00942CCF" w:rsidP="00942CCF">
    <w:pPr>
      <w:pStyle w:val="Header"/>
      <w:tabs>
        <w:tab w:val="clear" w:pos="4513"/>
        <w:tab w:val="clear" w:pos="9026"/>
        <w:tab w:val="right" w:pos="5760"/>
      </w:tabs>
      <w:jc w:val="center"/>
      <w:rPr>
        <w:b/>
        <w:bCs/>
        <w:sz w:val="18"/>
        <w:szCs w:val="18"/>
      </w:rPr>
    </w:pPr>
    <w:r>
      <w:rPr>
        <w:b/>
        <w:bCs/>
        <w:sz w:val="18"/>
        <w:szCs w:val="18"/>
      </w:rPr>
      <w:t>The 4</w:t>
    </w:r>
    <w:r>
      <w:rPr>
        <w:b/>
        <w:bCs/>
        <w:sz w:val="18"/>
        <w:szCs w:val="18"/>
        <w:vertAlign w:val="superscript"/>
      </w:rPr>
      <w:t>th</w:t>
    </w:r>
    <w:r w:rsidRPr="000B55D0">
      <w:rPr>
        <w:b/>
        <w:bCs/>
        <w:sz w:val="18"/>
        <w:szCs w:val="18"/>
      </w:rPr>
      <w:t xml:space="preserve"> International Conference of the Postgraduate Students and Academics in </w:t>
    </w:r>
    <w:proofErr w:type="spellStart"/>
    <w:r w:rsidRPr="000B55D0">
      <w:rPr>
        <w:b/>
        <w:bCs/>
        <w:sz w:val="18"/>
        <w:szCs w:val="18"/>
      </w:rPr>
      <w:t>Syariah</w:t>
    </w:r>
    <w:proofErr w:type="spellEnd"/>
    <w:r w:rsidRPr="000B55D0">
      <w:rPr>
        <w:b/>
        <w:bCs/>
        <w:sz w:val="18"/>
        <w:szCs w:val="18"/>
      </w:rPr>
      <w:t xml:space="preserve"> and Law</w:t>
    </w:r>
    <w:r w:rsidR="00C402D9">
      <w:rPr>
        <w:b/>
        <w:bCs/>
        <w:sz w:val="18"/>
        <w:szCs w:val="18"/>
      </w:rPr>
      <w:t xml:space="preserve"> 2023 (INPAC 2023</w:t>
    </w:r>
    <w:r w:rsidRPr="000B55D0">
      <w:rPr>
        <w:b/>
        <w:bCs/>
        <w:sz w:val="18"/>
        <w:szCs w:val="18"/>
      </w:rPr>
      <w:t>)</w:t>
    </w:r>
  </w:p>
  <w:p w:rsidR="00942CCF" w:rsidRPr="000B55D0" w:rsidRDefault="00942CCF" w:rsidP="00942CCF">
    <w:pPr>
      <w:pStyle w:val="Header"/>
      <w:tabs>
        <w:tab w:val="clear" w:pos="9026"/>
        <w:tab w:val="left" w:pos="3150"/>
        <w:tab w:val="right" w:pos="5760"/>
      </w:tabs>
      <w:jc w:val="center"/>
      <w:rPr>
        <w:sz w:val="18"/>
        <w:szCs w:val="18"/>
      </w:rPr>
    </w:pPr>
    <w:r>
      <w:rPr>
        <w:sz w:val="18"/>
        <w:szCs w:val="18"/>
      </w:rPr>
      <w:t>“</w:t>
    </w:r>
    <w:proofErr w:type="spellStart"/>
    <w:r>
      <w:rPr>
        <w:sz w:val="18"/>
        <w:szCs w:val="18"/>
      </w:rPr>
      <w:t>Syariah</w:t>
    </w:r>
    <w:proofErr w:type="spellEnd"/>
    <w:r>
      <w:rPr>
        <w:sz w:val="18"/>
        <w:szCs w:val="18"/>
      </w:rPr>
      <w:t xml:space="preserve"> and Law Studies in Facing</w:t>
    </w:r>
    <w:r w:rsidRPr="000B55D0">
      <w:rPr>
        <w:sz w:val="18"/>
        <w:szCs w:val="18"/>
      </w:rPr>
      <w:t xml:space="preserve"> </w:t>
    </w:r>
    <w:r>
      <w:rPr>
        <w:sz w:val="18"/>
        <w:szCs w:val="18"/>
      </w:rPr>
      <w:t>the Contemporary Challenges</w:t>
    </w:r>
    <w:r w:rsidRPr="000B55D0">
      <w:rPr>
        <w:sz w:val="18"/>
        <w:szCs w:val="18"/>
      </w:rPr>
      <w:t>”</w:t>
    </w:r>
  </w:p>
  <w:p w:rsidR="00CB12BB" w:rsidRPr="00FE438D" w:rsidRDefault="00CB12BB" w:rsidP="00CB12BB">
    <w:pPr>
      <w:pStyle w:val="Header"/>
      <w:tabs>
        <w:tab w:val="clear" w:pos="4513"/>
        <w:tab w:val="clear" w:pos="9026"/>
        <w:tab w:val="right" w:pos="5760"/>
      </w:tabs>
      <w:jc w:val="center"/>
    </w:pPr>
    <w:r>
      <w:t>_________________________________________________________________________________</w:t>
    </w:r>
  </w:p>
  <w:p w:rsidR="00620F13" w:rsidRPr="00746C66" w:rsidRDefault="00620F13" w:rsidP="00746C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A4EAE"/>
    <w:multiLevelType w:val="hybridMultilevel"/>
    <w:tmpl w:val="49B05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395D1A"/>
    <w:multiLevelType w:val="hybridMultilevel"/>
    <w:tmpl w:val="F33E3E5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2D2D5534"/>
    <w:multiLevelType w:val="hybridMultilevel"/>
    <w:tmpl w:val="F1F4B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1F2ADE"/>
    <w:multiLevelType w:val="hybridMultilevel"/>
    <w:tmpl w:val="62745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5C6193"/>
    <w:multiLevelType w:val="hybridMultilevel"/>
    <w:tmpl w:val="FE78C43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71CD242F"/>
    <w:multiLevelType w:val="hybridMultilevel"/>
    <w:tmpl w:val="B5F4CE5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D50"/>
    <w:rsid w:val="00050DFF"/>
    <w:rsid w:val="00072B9C"/>
    <w:rsid w:val="002A0323"/>
    <w:rsid w:val="002C796A"/>
    <w:rsid w:val="003B5A88"/>
    <w:rsid w:val="003E118F"/>
    <w:rsid w:val="004F5830"/>
    <w:rsid w:val="00565BF8"/>
    <w:rsid w:val="00583DF4"/>
    <w:rsid w:val="005C5F17"/>
    <w:rsid w:val="00620F13"/>
    <w:rsid w:val="00621AD6"/>
    <w:rsid w:val="006F790C"/>
    <w:rsid w:val="00746C66"/>
    <w:rsid w:val="007A289C"/>
    <w:rsid w:val="007A7B78"/>
    <w:rsid w:val="007B7795"/>
    <w:rsid w:val="007E495E"/>
    <w:rsid w:val="00836F6D"/>
    <w:rsid w:val="00866ACF"/>
    <w:rsid w:val="00892DB1"/>
    <w:rsid w:val="00907327"/>
    <w:rsid w:val="00942CCF"/>
    <w:rsid w:val="00971D50"/>
    <w:rsid w:val="0099507A"/>
    <w:rsid w:val="009A51A6"/>
    <w:rsid w:val="009A7034"/>
    <w:rsid w:val="009B0271"/>
    <w:rsid w:val="00A420F7"/>
    <w:rsid w:val="00A64222"/>
    <w:rsid w:val="00A75800"/>
    <w:rsid w:val="00B519E4"/>
    <w:rsid w:val="00B5687A"/>
    <w:rsid w:val="00BA0B61"/>
    <w:rsid w:val="00C402D9"/>
    <w:rsid w:val="00CB12BB"/>
    <w:rsid w:val="00CF3E4D"/>
    <w:rsid w:val="00D23DD5"/>
    <w:rsid w:val="00D301B4"/>
    <w:rsid w:val="00DB3C7B"/>
    <w:rsid w:val="00DC0D58"/>
    <w:rsid w:val="00DC5839"/>
    <w:rsid w:val="00E06BEB"/>
    <w:rsid w:val="00E75D93"/>
    <w:rsid w:val="00EF3E7C"/>
    <w:rsid w:val="00F006B0"/>
    <w:rsid w:val="00F36E59"/>
    <w:rsid w:val="00F61C56"/>
    <w:rsid w:val="00F806F7"/>
    <w:rsid w:val="00FD1465"/>
    <w:rsid w:val="00FE0A98"/>
    <w:rsid w:val="00FE438D"/>
    <w:rsid w:val="00FF1991"/>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8AB04"/>
  <w15:chartTrackingRefBased/>
  <w15:docId w15:val="{5C62896D-791F-4708-8278-E79D7FDB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50DF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CF3E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50DFF"/>
    <w:pPr>
      <w:keepNext/>
      <w:spacing w:before="240" w:after="60" w:line="240" w:lineRule="auto"/>
      <w:outlineLvl w:val="2"/>
    </w:pPr>
    <w:rPr>
      <w:rFonts w:ascii="Calibri Light" w:eastAsia="Times New Roman" w:hAnsi="Calibri Light" w:cs="Times New Roman"/>
      <w:b/>
      <w:bCs/>
      <w:sz w:val="26"/>
      <w:szCs w:val="26"/>
      <w:lang w:val="en-US"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1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971D50"/>
    <w:pPr>
      <w:spacing w:after="0" w:line="240" w:lineRule="auto"/>
      <w:jc w:val="both"/>
    </w:pPr>
    <w:rPr>
      <w:rFonts w:ascii="Arial" w:eastAsia="Times New Roman" w:hAnsi="Arial" w:cs="Times New Roman"/>
      <w:sz w:val="20"/>
      <w:szCs w:val="20"/>
      <w:lang w:val="en-US"/>
    </w:rPr>
  </w:style>
  <w:style w:type="character" w:customStyle="1" w:styleId="BodyTextChar">
    <w:name w:val="Body Text Char"/>
    <w:basedOn w:val="DefaultParagraphFont"/>
    <w:link w:val="BodyText"/>
    <w:uiPriority w:val="99"/>
    <w:rsid w:val="00971D50"/>
    <w:rPr>
      <w:rFonts w:ascii="Arial" w:eastAsia="Times New Roman" w:hAnsi="Arial" w:cs="Times New Roman"/>
      <w:sz w:val="20"/>
      <w:szCs w:val="20"/>
      <w:lang w:val="en-US"/>
    </w:rPr>
  </w:style>
  <w:style w:type="paragraph" w:styleId="Header">
    <w:name w:val="header"/>
    <w:basedOn w:val="Normal"/>
    <w:link w:val="HeaderChar"/>
    <w:unhideWhenUsed/>
    <w:rsid w:val="00971D50"/>
    <w:pPr>
      <w:tabs>
        <w:tab w:val="center" w:pos="4513"/>
        <w:tab w:val="right" w:pos="9026"/>
      </w:tabs>
      <w:spacing w:after="0" w:line="240" w:lineRule="auto"/>
    </w:pPr>
  </w:style>
  <w:style w:type="character" w:customStyle="1" w:styleId="HeaderChar">
    <w:name w:val="Header Char"/>
    <w:basedOn w:val="DefaultParagraphFont"/>
    <w:link w:val="Header"/>
    <w:rsid w:val="00971D50"/>
  </w:style>
  <w:style w:type="paragraph" w:styleId="Footer">
    <w:name w:val="footer"/>
    <w:basedOn w:val="Normal"/>
    <w:link w:val="FooterChar"/>
    <w:unhideWhenUsed/>
    <w:rsid w:val="00971D50"/>
    <w:pPr>
      <w:tabs>
        <w:tab w:val="center" w:pos="4513"/>
        <w:tab w:val="right" w:pos="9026"/>
      </w:tabs>
      <w:spacing w:after="0" w:line="240" w:lineRule="auto"/>
    </w:pPr>
  </w:style>
  <w:style w:type="character" w:customStyle="1" w:styleId="FooterChar">
    <w:name w:val="Footer Char"/>
    <w:basedOn w:val="DefaultParagraphFont"/>
    <w:link w:val="Footer"/>
    <w:rsid w:val="00971D50"/>
  </w:style>
  <w:style w:type="character" w:styleId="Hyperlink">
    <w:name w:val="Hyperlink"/>
    <w:basedOn w:val="DefaultParagraphFont"/>
    <w:uiPriority w:val="99"/>
    <w:unhideWhenUsed/>
    <w:rsid w:val="009A7034"/>
    <w:rPr>
      <w:color w:val="0563C1" w:themeColor="hyperlink"/>
      <w:u w:val="single"/>
    </w:rPr>
  </w:style>
  <w:style w:type="character" w:customStyle="1" w:styleId="Heading1Char">
    <w:name w:val="Heading 1 Char"/>
    <w:basedOn w:val="DefaultParagraphFont"/>
    <w:link w:val="Heading1"/>
    <w:uiPriority w:val="9"/>
    <w:rsid w:val="00050DFF"/>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semiHidden/>
    <w:rsid w:val="00050DFF"/>
    <w:rPr>
      <w:rFonts w:ascii="Calibri Light" w:eastAsia="Times New Roman" w:hAnsi="Calibri Light" w:cs="Times New Roman"/>
      <w:b/>
      <w:bCs/>
      <w:sz w:val="26"/>
      <w:szCs w:val="26"/>
      <w:lang w:val="en-US" w:eastAsia="lt-LT"/>
    </w:rPr>
  </w:style>
  <w:style w:type="paragraph" w:customStyle="1" w:styleId="prliminairetitre">
    <w:name w:val="prliminairetitre"/>
    <w:basedOn w:val="Normal"/>
    <w:rsid w:val="00050DFF"/>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FootnoteText">
    <w:name w:val="footnote text"/>
    <w:basedOn w:val="Normal"/>
    <w:link w:val="FootnoteTextChar"/>
    <w:uiPriority w:val="99"/>
    <w:rsid w:val="00050DFF"/>
    <w:pPr>
      <w:spacing w:after="0" w:line="240" w:lineRule="auto"/>
    </w:pPr>
    <w:rPr>
      <w:rFonts w:ascii="Times New Roman" w:eastAsia="Times New Roman" w:hAnsi="Times New Roman" w:cs="Times New Roman"/>
      <w:sz w:val="20"/>
      <w:szCs w:val="20"/>
      <w:lang w:val="en-US" w:eastAsia="lt-LT"/>
    </w:rPr>
  </w:style>
  <w:style w:type="character" w:customStyle="1" w:styleId="FootnoteTextChar">
    <w:name w:val="Footnote Text Char"/>
    <w:basedOn w:val="DefaultParagraphFont"/>
    <w:link w:val="FootnoteText"/>
    <w:uiPriority w:val="99"/>
    <w:rsid w:val="00050DFF"/>
    <w:rPr>
      <w:rFonts w:ascii="Times New Roman" w:eastAsia="Times New Roman" w:hAnsi="Times New Roman" w:cs="Times New Roman"/>
      <w:sz w:val="20"/>
      <w:szCs w:val="20"/>
      <w:lang w:val="en-US" w:eastAsia="lt-LT"/>
    </w:rPr>
  </w:style>
  <w:style w:type="character" w:styleId="FootnoteReference">
    <w:name w:val="footnote reference"/>
    <w:uiPriority w:val="99"/>
    <w:rsid w:val="00050DFF"/>
    <w:rPr>
      <w:vertAlign w:val="superscript"/>
    </w:rPr>
  </w:style>
  <w:style w:type="character" w:customStyle="1" w:styleId="apple-converted-space">
    <w:name w:val="apple-converted-space"/>
    <w:rsid w:val="00050DFF"/>
  </w:style>
  <w:style w:type="character" w:customStyle="1" w:styleId="addmd">
    <w:name w:val="addmd"/>
    <w:rsid w:val="00050DFF"/>
  </w:style>
  <w:style w:type="paragraph" w:styleId="NoSpacing">
    <w:name w:val="No Spacing"/>
    <w:link w:val="NoSpacingChar"/>
    <w:uiPriority w:val="1"/>
    <w:qFormat/>
    <w:rsid w:val="00050DFF"/>
    <w:pPr>
      <w:spacing w:after="0" w:line="240" w:lineRule="auto"/>
    </w:pPr>
    <w:rPr>
      <w:rFonts w:ascii="Times New Roman" w:eastAsia="Times New Roman" w:hAnsi="Times New Roman" w:cs="Times New Roman"/>
      <w:sz w:val="24"/>
      <w:szCs w:val="24"/>
      <w:lang w:val="en-US" w:eastAsia="lt-LT"/>
    </w:rPr>
  </w:style>
  <w:style w:type="paragraph" w:styleId="ListParagraph">
    <w:name w:val="List Paragraph"/>
    <w:basedOn w:val="Normal"/>
    <w:uiPriority w:val="34"/>
    <w:qFormat/>
    <w:rsid w:val="00050DFF"/>
    <w:pPr>
      <w:spacing w:after="0" w:line="240" w:lineRule="auto"/>
      <w:ind w:left="720"/>
    </w:pPr>
    <w:rPr>
      <w:rFonts w:ascii="Times New Roman" w:eastAsia="Times New Roman" w:hAnsi="Times New Roman" w:cs="Times New Roman"/>
      <w:sz w:val="24"/>
      <w:szCs w:val="24"/>
      <w:lang w:val="en-US"/>
    </w:rPr>
  </w:style>
  <w:style w:type="character" w:styleId="HTMLCite">
    <w:name w:val="HTML Cite"/>
    <w:uiPriority w:val="99"/>
    <w:unhideWhenUsed/>
    <w:rsid w:val="00050DFF"/>
    <w:rPr>
      <w:i/>
      <w:iCs/>
    </w:rPr>
  </w:style>
  <w:style w:type="paragraph" w:customStyle="1" w:styleId="EndNoteBibliographyTitle">
    <w:name w:val="EndNote Bibliography Title"/>
    <w:basedOn w:val="Normal"/>
    <w:link w:val="EndNoteBibliographyTitleChar"/>
    <w:rsid w:val="00050DFF"/>
    <w:pPr>
      <w:spacing w:after="0" w:line="240" w:lineRule="auto"/>
      <w:jc w:val="center"/>
    </w:pPr>
    <w:rPr>
      <w:rFonts w:ascii="Times New Roman" w:eastAsia="Times New Roman" w:hAnsi="Times New Roman" w:cs="Times New Roman"/>
      <w:noProof/>
      <w:sz w:val="24"/>
      <w:szCs w:val="24"/>
      <w:lang w:val="lt-LT" w:eastAsia="lt-LT"/>
    </w:rPr>
  </w:style>
  <w:style w:type="character" w:customStyle="1" w:styleId="EndNoteBibliographyTitleChar">
    <w:name w:val="EndNote Bibliography Title Char"/>
    <w:link w:val="EndNoteBibliographyTitle"/>
    <w:rsid w:val="00050DFF"/>
    <w:rPr>
      <w:rFonts w:ascii="Times New Roman" w:eastAsia="Times New Roman" w:hAnsi="Times New Roman" w:cs="Times New Roman"/>
      <w:noProof/>
      <w:sz w:val="24"/>
      <w:szCs w:val="24"/>
      <w:lang w:val="lt-LT" w:eastAsia="lt-LT"/>
    </w:rPr>
  </w:style>
  <w:style w:type="paragraph" w:customStyle="1" w:styleId="EndNoteBibliography">
    <w:name w:val="EndNote Bibliography"/>
    <w:basedOn w:val="Normal"/>
    <w:link w:val="EndNoteBibliographyChar"/>
    <w:rsid w:val="00050DFF"/>
    <w:pPr>
      <w:spacing w:after="0" w:line="240" w:lineRule="auto"/>
      <w:jc w:val="both"/>
    </w:pPr>
    <w:rPr>
      <w:rFonts w:ascii="Times New Roman" w:eastAsia="Times New Roman" w:hAnsi="Times New Roman" w:cs="Times New Roman"/>
      <w:noProof/>
      <w:sz w:val="24"/>
      <w:szCs w:val="24"/>
      <w:lang w:val="lt-LT" w:eastAsia="lt-LT"/>
    </w:rPr>
  </w:style>
  <w:style w:type="character" w:customStyle="1" w:styleId="EndNoteBibliographyChar">
    <w:name w:val="EndNote Bibliography Char"/>
    <w:link w:val="EndNoteBibliography"/>
    <w:rsid w:val="00050DFF"/>
    <w:rPr>
      <w:rFonts w:ascii="Times New Roman" w:eastAsia="Times New Roman" w:hAnsi="Times New Roman" w:cs="Times New Roman"/>
      <w:noProof/>
      <w:sz w:val="24"/>
      <w:szCs w:val="24"/>
      <w:lang w:val="lt-LT" w:eastAsia="lt-LT"/>
    </w:rPr>
  </w:style>
  <w:style w:type="paragraph" w:styleId="TOCHeading">
    <w:name w:val="TOC Heading"/>
    <w:basedOn w:val="Heading1"/>
    <w:next w:val="Normal"/>
    <w:uiPriority w:val="39"/>
    <w:unhideWhenUsed/>
    <w:qFormat/>
    <w:rsid w:val="00050DFF"/>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TOC1">
    <w:name w:val="toc 1"/>
    <w:basedOn w:val="Normal"/>
    <w:next w:val="Normal"/>
    <w:autoRedefine/>
    <w:uiPriority w:val="39"/>
    <w:rsid w:val="00050DFF"/>
    <w:pPr>
      <w:spacing w:after="0" w:line="240" w:lineRule="auto"/>
    </w:pPr>
    <w:rPr>
      <w:rFonts w:ascii="Times New Roman" w:eastAsia="Times New Roman" w:hAnsi="Times New Roman" w:cs="Times New Roman"/>
      <w:sz w:val="24"/>
      <w:szCs w:val="24"/>
      <w:lang w:val="en-US" w:eastAsia="lt-LT"/>
    </w:rPr>
  </w:style>
  <w:style w:type="character" w:customStyle="1" w:styleId="NoSpacingChar">
    <w:name w:val="No Spacing Char"/>
    <w:link w:val="NoSpacing"/>
    <w:uiPriority w:val="1"/>
    <w:rsid w:val="00050DFF"/>
    <w:rPr>
      <w:rFonts w:ascii="Times New Roman" w:eastAsia="Times New Roman" w:hAnsi="Times New Roman" w:cs="Times New Roman"/>
      <w:sz w:val="24"/>
      <w:szCs w:val="24"/>
      <w:lang w:val="en-US" w:eastAsia="lt-LT"/>
    </w:rPr>
  </w:style>
  <w:style w:type="character" w:styleId="Strong">
    <w:name w:val="Strong"/>
    <w:qFormat/>
    <w:rsid w:val="00050DFF"/>
    <w:rPr>
      <w:b/>
      <w:bCs/>
    </w:rPr>
  </w:style>
  <w:style w:type="paragraph" w:styleId="NormalWeb">
    <w:name w:val="Normal (Web)"/>
    <w:basedOn w:val="Normal"/>
    <w:uiPriority w:val="99"/>
    <w:unhideWhenUsed/>
    <w:rsid w:val="00050DF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CF3E4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141205">
      <w:bodyDiv w:val="1"/>
      <w:marLeft w:val="0"/>
      <w:marRight w:val="0"/>
      <w:marTop w:val="0"/>
      <w:marBottom w:val="0"/>
      <w:divBdr>
        <w:top w:val="none" w:sz="0" w:space="0" w:color="auto"/>
        <w:left w:val="none" w:sz="0" w:space="0" w:color="auto"/>
        <w:bottom w:val="none" w:sz="0" w:space="0" w:color="auto"/>
        <w:right w:val="none" w:sz="0" w:space="0" w:color="auto"/>
      </w:divBdr>
    </w:div>
    <w:div w:id="188436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zawati@usim.edu.m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infad-pc</dc:creator>
  <cp:keywords/>
  <dc:description/>
  <cp:lastModifiedBy>ASUS</cp:lastModifiedBy>
  <cp:revision>8</cp:revision>
  <dcterms:created xsi:type="dcterms:W3CDTF">2019-09-04T00:26:00Z</dcterms:created>
  <dcterms:modified xsi:type="dcterms:W3CDTF">2023-02-04T02:07:00Z</dcterms:modified>
</cp:coreProperties>
</file>